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B172" w14:textId="77777777" w:rsidR="001D0929" w:rsidRPr="00FD5E77" w:rsidRDefault="001D0929" w:rsidP="001D0929">
      <w:r w:rsidRPr="00FD5E77">
        <w:t>CQ 25</w:t>
      </w:r>
    </w:p>
    <w:p w14:paraId="110F56EE" w14:textId="77777777" w:rsidR="001D0929" w:rsidRPr="00FD5E77" w:rsidRDefault="001D0929" w:rsidP="001D0929">
      <w:r w:rsidRPr="00FD5E77">
        <w:rPr>
          <w:rFonts w:hint="eastAsia"/>
        </w:rPr>
        <w:t>プラチナ製剤感受性再発で推奨される薬物療法のレジメンは？</w:t>
      </w:r>
    </w:p>
    <w:p w14:paraId="1486AD40" w14:textId="77777777" w:rsidR="001D0929" w:rsidRPr="00FD5E77" w:rsidRDefault="001D0929" w:rsidP="001D0929"/>
    <w:p w14:paraId="0DB119FD" w14:textId="77777777" w:rsidR="001D0929" w:rsidRPr="00FD5E77" w:rsidRDefault="001D0929" w:rsidP="001D0929">
      <w:r w:rsidRPr="00FD5E77">
        <w:rPr>
          <w:rFonts w:hint="eastAsia"/>
        </w:rPr>
        <w:t>推奨</w:t>
      </w:r>
    </w:p>
    <w:p w14:paraId="5E3EB90E" w14:textId="77777777" w:rsidR="001D0929" w:rsidRPr="00FD5E77" w:rsidRDefault="001D0929" w:rsidP="001D0929">
      <w:r w:rsidRPr="00FD5E77">
        <w:rPr>
          <w:rFonts w:hint="eastAsia"/>
        </w:rPr>
        <w:t>①プラチナ製剤を含む多剤併用療法を推奨する。</w:t>
      </w:r>
    </w:p>
    <w:p w14:paraId="274E2621" w14:textId="77777777" w:rsidR="001D0929" w:rsidRPr="00FD5E77" w:rsidRDefault="001D0929" w:rsidP="001D0929">
      <w:r w:rsidRPr="00FD5E77">
        <w:rPr>
          <w:rFonts w:hint="eastAsia"/>
        </w:rPr>
        <w:t xml:space="preserve">　推奨の強さ　 1 （↑↑） 　エビデンスレベル　 A 　（合意率　100％）</w:t>
      </w:r>
    </w:p>
    <w:p w14:paraId="7C1983DF" w14:textId="77777777" w:rsidR="001D0929" w:rsidRPr="00FD5E77" w:rsidRDefault="001D0929" w:rsidP="001D0929">
      <w:r w:rsidRPr="00FD5E77">
        <w:rPr>
          <w:rFonts w:hint="eastAsia"/>
        </w:rPr>
        <w:t>②多剤併用化学療法に加え，ベバシズマブの併用/ 維持療法を推奨する。</w:t>
      </w:r>
    </w:p>
    <w:p w14:paraId="79E4F194" w14:textId="77777777" w:rsidR="001D0929" w:rsidRPr="00FD5E77" w:rsidRDefault="001D0929" w:rsidP="001D0929">
      <w:r w:rsidRPr="00FD5E77">
        <w:rPr>
          <w:rFonts w:hint="eastAsia"/>
        </w:rPr>
        <w:t xml:space="preserve">　推奨の強さ　 1 （↑↑） 　エビデンスレベル　 B 　（合意率　100％）</w:t>
      </w:r>
    </w:p>
    <w:p w14:paraId="5F14A670" w14:textId="77777777" w:rsidR="001D0929" w:rsidRPr="00FD5E77" w:rsidRDefault="001D0929" w:rsidP="001D0929">
      <w:pPr>
        <w:ind w:left="210" w:hangingChars="100" w:hanging="210"/>
      </w:pPr>
      <w:r w:rsidRPr="00FD5E77">
        <w:rPr>
          <w:rFonts w:hint="eastAsia"/>
        </w:rPr>
        <w:t>③BRCA1/2 変異を有するプラチナ製剤感受性再発症例に対して，プラチナ製剤を含む化学療法で奏効した後にオラパリブ</w:t>
      </w:r>
      <w:r w:rsidRPr="006F2A6F">
        <w:rPr>
          <w:rFonts w:hint="eastAsia"/>
          <w:color w:val="FF0000"/>
        </w:rPr>
        <w:t>又はニラパリブ</w:t>
      </w:r>
      <w:r w:rsidRPr="00FD5E77">
        <w:rPr>
          <w:rFonts w:hint="eastAsia"/>
        </w:rPr>
        <w:t>の維持療法を推奨する。</w:t>
      </w:r>
    </w:p>
    <w:p w14:paraId="3641F147" w14:textId="77777777" w:rsidR="001D0929" w:rsidRPr="00FD5E77" w:rsidRDefault="001D0929" w:rsidP="001D0929">
      <w:r w:rsidRPr="00FD5E77">
        <w:rPr>
          <w:rFonts w:hint="eastAsia"/>
        </w:rPr>
        <w:t xml:space="preserve">　推奨の強さ　 1 （↑↑） 　エビデンスレベル　 B 　</w:t>
      </w:r>
    </w:p>
    <w:p w14:paraId="1AD1FB6D" w14:textId="77777777" w:rsidR="001D0929" w:rsidRPr="00FD5E77" w:rsidRDefault="001D0929" w:rsidP="001D0929">
      <w:pPr>
        <w:ind w:left="210" w:hangingChars="100" w:hanging="210"/>
      </w:pPr>
      <w:r w:rsidRPr="00FD5E77">
        <w:rPr>
          <w:rFonts w:hint="eastAsia"/>
        </w:rPr>
        <w:t>④ BRCA1/2 変異のない，もしくは不明なプラチナ製剤感受性再発症例に対して，プラチナ製剤を含む化学療法で奏効した後にオラパリブ</w:t>
      </w:r>
      <w:r w:rsidRPr="00FD5E77">
        <w:rPr>
          <w:rFonts w:hint="eastAsia"/>
          <w:vertAlign w:val="superscript"/>
        </w:rPr>
        <w:t>†</w:t>
      </w:r>
      <w:r w:rsidRPr="006F2A6F">
        <w:rPr>
          <w:rFonts w:hint="eastAsia"/>
          <w:color w:val="FF0000"/>
        </w:rPr>
        <w:t>又はニラパリブ</w:t>
      </w:r>
      <w:r w:rsidRPr="00FD5E77">
        <w:rPr>
          <w:rFonts w:hint="eastAsia"/>
        </w:rPr>
        <w:t>の維持療法を提案する。</w:t>
      </w:r>
    </w:p>
    <w:p w14:paraId="04A734C8" w14:textId="77777777" w:rsidR="001D0929" w:rsidRPr="00FD5E77" w:rsidRDefault="001D0929" w:rsidP="001D0929">
      <w:r w:rsidRPr="00FD5E77">
        <w:rPr>
          <w:rFonts w:hint="eastAsia"/>
        </w:rPr>
        <w:t xml:space="preserve">　推奨の強さ　 2 （↑） 　　エビデンスレベル　 B 　</w:t>
      </w:r>
    </w:p>
    <w:p w14:paraId="1DA08844" w14:textId="77777777" w:rsidR="001D0929" w:rsidRPr="006F2A6F" w:rsidRDefault="001D0929" w:rsidP="001D0929">
      <w:pPr>
        <w:rPr>
          <w:color w:val="FF0000"/>
        </w:rPr>
      </w:pPr>
      <w:r w:rsidRPr="006F2A6F">
        <w:rPr>
          <w:rFonts w:hint="eastAsia"/>
          <w:color w:val="FF0000"/>
        </w:rPr>
        <w:t>⑤3レジメン以上の化学療法歴のあるプラチナ</w:t>
      </w:r>
      <w:r w:rsidR="00BC387A">
        <w:rPr>
          <w:rFonts w:hint="eastAsia"/>
          <w:color w:val="FF0000"/>
        </w:rPr>
        <w:t>製剤</w:t>
      </w:r>
      <w:r w:rsidRPr="006F2A6F">
        <w:rPr>
          <w:rFonts w:hint="eastAsia"/>
          <w:color w:val="FF0000"/>
        </w:rPr>
        <w:t>感受性再発症例に対して、</w:t>
      </w:r>
      <w:r w:rsidR="00BC387A">
        <w:rPr>
          <w:rFonts w:hint="eastAsia"/>
          <w:color w:val="FF0000"/>
        </w:rPr>
        <w:t>H</w:t>
      </w:r>
      <w:r w:rsidR="00BC387A">
        <w:rPr>
          <w:color w:val="FF0000"/>
        </w:rPr>
        <w:t>RD</w:t>
      </w:r>
      <w:r w:rsidR="00BC387A" w:rsidRPr="006F2A6F">
        <w:rPr>
          <w:rFonts w:hint="eastAsia"/>
          <w:color w:val="FF0000"/>
        </w:rPr>
        <w:t>の</w:t>
      </w:r>
      <w:r w:rsidR="00BC387A">
        <w:rPr>
          <w:rFonts w:hint="eastAsia"/>
          <w:color w:val="FF0000"/>
        </w:rPr>
        <w:t>場合、</w:t>
      </w:r>
      <w:r w:rsidRPr="006F2A6F">
        <w:rPr>
          <w:rFonts w:hint="eastAsia"/>
          <w:color w:val="FF0000"/>
        </w:rPr>
        <w:t>ニラパリブ</w:t>
      </w:r>
      <w:r w:rsidR="003B6A95" w:rsidRPr="006F2A6F">
        <w:rPr>
          <w:rFonts w:hint="eastAsia"/>
          <w:color w:val="FF0000"/>
        </w:rPr>
        <w:t>単剤による</w:t>
      </w:r>
      <w:r w:rsidRPr="006F2A6F">
        <w:rPr>
          <w:rFonts w:hint="eastAsia"/>
          <w:color w:val="FF0000"/>
        </w:rPr>
        <w:t>治療を提案する</w:t>
      </w:r>
    </w:p>
    <w:p w14:paraId="3298679B" w14:textId="77777777" w:rsidR="001D0929" w:rsidRPr="006F2A6F" w:rsidRDefault="001D0929" w:rsidP="001D0929">
      <w:pPr>
        <w:rPr>
          <w:color w:val="FF0000"/>
        </w:rPr>
      </w:pPr>
      <w:r w:rsidRPr="006F2A6F">
        <w:rPr>
          <w:rFonts w:hint="eastAsia"/>
          <w:color w:val="FF0000"/>
        </w:rPr>
        <w:t xml:space="preserve">　推奨の強さ　 2</w:t>
      </w:r>
      <w:r w:rsidRPr="006F2A6F">
        <w:rPr>
          <w:color w:val="FF0000"/>
        </w:rPr>
        <w:t xml:space="preserve"> </w:t>
      </w:r>
      <w:r w:rsidRPr="006F2A6F">
        <w:rPr>
          <w:rFonts w:hint="eastAsia"/>
          <w:color w:val="FF0000"/>
        </w:rPr>
        <w:t xml:space="preserve"> </w:t>
      </w:r>
      <w:r w:rsidRPr="006F2A6F">
        <w:rPr>
          <w:color w:val="FF0000"/>
        </w:rPr>
        <w:tab/>
      </w:r>
      <w:r w:rsidRPr="006F2A6F">
        <w:rPr>
          <w:rFonts w:hint="eastAsia"/>
          <w:color w:val="FF0000"/>
        </w:rPr>
        <w:t xml:space="preserve">　　エビデンスレベル　 B</w:t>
      </w:r>
    </w:p>
    <w:p w14:paraId="1BCB630D" w14:textId="77777777" w:rsidR="00662518" w:rsidRDefault="00662518" w:rsidP="001D0929">
      <w:pPr>
        <w:rPr>
          <w:color w:val="FF0000"/>
        </w:rPr>
      </w:pPr>
      <w:bookmarkStart w:id="0" w:name="_Hlk72669842"/>
    </w:p>
    <w:p w14:paraId="64A3B6F9" w14:textId="77777777" w:rsidR="001D0929" w:rsidRPr="00E763F4" w:rsidRDefault="001D0929" w:rsidP="001D0929">
      <w:pPr>
        <w:rPr>
          <w:color w:val="FF0000"/>
        </w:rPr>
      </w:pPr>
      <w:r w:rsidRPr="00A861EB">
        <w:rPr>
          <w:rFonts w:hint="eastAsia"/>
          <w:color w:val="000000" w:themeColor="text1"/>
        </w:rPr>
        <w:t>推奨④のオラパリブについて，「根拠となるデータが第Ⅱ相RCT のサブグループ解析結果である」，「BRCA検査を実施していない症例に対する有効性に関してはエビデンスが不足しており，エビデンスの確実性は限定的であり，エビデンスレベルはC が妥当である」との意見が出され，最終的に合意率は85％となった。</w:t>
      </w:r>
      <w:bookmarkStart w:id="1" w:name="_Hlk72661216"/>
      <w:r w:rsidR="0082048E" w:rsidRPr="00A861EB">
        <w:rPr>
          <w:rFonts w:hint="eastAsia"/>
          <w:color w:val="000000" w:themeColor="text1"/>
        </w:rPr>
        <w:t>尚、</w:t>
      </w:r>
      <w:r w:rsidR="00FA2FAA" w:rsidRPr="00A861EB">
        <w:rPr>
          <w:rFonts w:hint="eastAsia"/>
          <w:color w:val="000000" w:themeColor="text1"/>
        </w:rPr>
        <w:t>ニラパリブの追加記載による投票は行っていない。</w:t>
      </w:r>
      <w:bookmarkEnd w:id="0"/>
      <w:r w:rsidR="00E763F4">
        <w:rPr>
          <w:rFonts w:hint="eastAsia"/>
          <w:color w:val="FF0000"/>
        </w:rPr>
        <w:t>(最終投票後に記載)</w:t>
      </w:r>
    </w:p>
    <w:bookmarkEnd w:id="1"/>
    <w:p w14:paraId="77AF52B5" w14:textId="77777777" w:rsidR="001D0929" w:rsidRPr="00FD5E77" w:rsidRDefault="001D0929" w:rsidP="001D0929"/>
    <w:p w14:paraId="1C04EB4F" w14:textId="77777777" w:rsidR="001D0929" w:rsidRPr="00FD5E77" w:rsidRDefault="001D0929" w:rsidP="001D0929">
      <w:r w:rsidRPr="00FD5E77">
        <w:rPr>
          <w:rFonts w:hint="eastAsia"/>
        </w:rPr>
        <w:t>目的</w:t>
      </w:r>
    </w:p>
    <w:p w14:paraId="03C3EB6D" w14:textId="77777777" w:rsidR="001D0929" w:rsidRPr="00FD5E77" w:rsidRDefault="001D0929" w:rsidP="001D0929">
      <w:pPr>
        <w:ind w:firstLineChars="100" w:firstLine="210"/>
      </w:pPr>
      <w:r w:rsidRPr="00FD5E77">
        <w:rPr>
          <w:rFonts w:hint="eastAsia"/>
        </w:rPr>
        <w:t>プラチナ製剤感受性再発卵巣癌に対する薬物療法において推奨されるレジメンを検討する。</w:t>
      </w:r>
    </w:p>
    <w:p w14:paraId="0E2B7125" w14:textId="77777777" w:rsidR="001D0929" w:rsidRPr="00FD5E77" w:rsidRDefault="001D0929" w:rsidP="001D0929"/>
    <w:p w14:paraId="33A042ED" w14:textId="77777777" w:rsidR="001D0929" w:rsidRPr="00FD5E77" w:rsidRDefault="001D0929" w:rsidP="001D0929">
      <w:r w:rsidRPr="00FD5E77">
        <w:rPr>
          <w:rFonts w:hint="eastAsia"/>
        </w:rPr>
        <w:t>解説</w:t>
      </w:r>
    </w:p>
    <w:p w14:paraId="26345790" w14:textId="77777777" w:rsidR="001D0929" w:rsidRPr="00FD5E77" w:rsidRDefault="001D0929" w:rsidP="001D0929">
      <w:pPr>
        <w:ind w:firstLineChars="100" w:firstLine="210"/>
      </w:pPr>
      <w:r w:rsidRPr="00FD5E77">
        <w:rPr>
          <w:rFonts w:hint="eastAsia"/>
        </w:rPr>
        <w:t>再発卵巣癌の化学療法は，初回治療において主としてタキサン製剤＋プラチナ製剤の化学療法が施行された症例が対象になる。再発の治療目標は，症状緩和と延命である。また，再発癌に対する化学療法の奏効期間は初回化学療法の奏効期間をこえることはなく，化学療法の限界も認識すべきである</w:t>
      </w:r>
      <w:r w:rsidRPr="00FD5E77">
        <w:rPr>
          <w:rFonts w:hint="eastAsia"/>
          <w:highlight w:val="yellow"/>
          <w:vertAlign w:val="superscript"/>
        </w:rPr>
        <w:t>1）</w:t>
      </w:r>
      <w:r w:rsidRPr="00FD5E77">
        <w:rPr>
          <w:rFonts w:hint="eastAsia"/>
        </w:rPr>
        <w:t>。</w:t>
      </w:r>
    </w:p>
    <w:p w14:paraId="41100482" w14:textId="77777777" w:rsidR="001D0929" w:rsidRPr="00FD5E77" w:rsidRDefault="001D0929" w:rsidP="001D0929">
      <w:pPr>
        <w:ind w:firstLineChars="100" w:firstLine="210"/>
      </w:pPr>
      <w:r w:rsidRPr="00FD5E77">
        <w:rPr>
          <w:rFonts w:hint="eastAsia"/>
        </w:rPr>
        <w:t>第Ⅲ相RCT の結果では，プラチナ製剤の単剤療法よりもプラチナ製剤を含む多剤併用療法（TC 療法</w:t>
      </w:r>
      <w:r w:rsidRPr="00FD5E77">
        <w:rPr>
          <w:rFonts w:hint="eastAsia"/>
          <w:highlight w:val="yellow"/>
          <w:vertAlign w:val="superscript"/>
        </w:rPr>
        <w:t>2）</w:t>
      </w:r>
      <w:r w:rsidRPr="00FD5E77">
        <w:rPr>
          <w:rFonts w:hint="eastAsia"/>
        </w:rPr>
        <w:t>，GC 療法</w:t>
      </w:r>
      <w:r w:rsidRPr="00FD5E77">
        <w:rPr>
          <w:rFonts w:hint="eastAsia"/>
          <w:highlight w:val="yellow"/>
          <w:vertAlign w:val="superscript"/>
        </w:rPr>
        <w:t>3）</w:t>
      </w:r>
      <w:r w:rsidRPr="00FD5E77">
        <w:rPr>
          <w:rFonts w:hint="eastAsia"/>
        </w:rPr>
        <w:t>，PLD-C 療法</w:t>
      </w:r>
      <w:r w:rsidRPr="00FD5E77">
        <w:rPr>
          <w:rFonts w:hint="eastAsia"/>
          <w:highlight w:val="yellow"/>
          <w:vertAlign w:val="superscript"/>
        </w:rPr>
        <w:t>4）</w:t>
      </w:r>
      <w:r w:rsidRPr="00FD5E77">
        <w:rPr>
          <w:rFonts w:hint="eastAsia"/>
        </w:rPr>
        <w:t>）が推奨される（表14）。また，CALYPSO 試</w:t>
      </w:r>
      <w:r w:rsidRPr="00FD5E77">
        <w:rPr>
          <w:rFonts w:hint="eastAsia"/>
        </w:rPr>
        <w:lastRenderedPageBreak/>
        <w:t xml:space="preserve">験の結果，PLD-C 療法のTC 療法に対するPFS </w:t>
      </w:r>
      <w:r w:rsidRPr="00FD5E77">
        <w:rPr>
          <w:rFonts w:hint="eastAsia"/>
          <w:highlight w:val="yellow"/>
          <w:vertAlign w:val="superscript"/>
        </w:rPr>
        <w:t>4）</w:t>
      </w:r>
      <w:r w:rsidRPr="00FD5E77">
        <w:rPr>
          <w:rFonts w:hint="eastAsia"/>
        </w:rPr>
        <w:t xml:space="preserve">での非劣性が示され，OS </w:t>
      </w:r>
      <w:r w:rsidRPr="00FD5E77">
        <w:rPr>
          <w:rFonts w:hint="eastAsia"/>
          <w:highlight w:val="yellow"/>
          <w:vertAlign w:val="superscript"/>
        </w:rPr>
        <w:t>5）</w:t>
      </w:r>
      <w:r w:rsidRPr="00FD5E77">
        <w:rPr>
          <w:rFonts w:hint="eastAsia"/>
        </w:rPr>
        <w:t>でも有意差はなかった。その他のレジメン間での比較試験はない。各レジメンの毒性プロファイルを考慮して選択すべきである。</w:t>
      </w:r>
    </w:p>
    <w:p w14:paraId="1E89B6DC" w14:textId="77777777" w:rsidR="001D0929" w:rsidRPr="00FD5E77" w:rsidRDefault="001D0929" w:rsidP="001D0929">
      <w:pPr>
        <w:ind w:firstLineChars="100" w:firstLine="210"/>
      </w:pPr>
      <w:r w:rsidRPr="00FD5E77">
        <w:rPr>
          <w:rFonts w:hint="eastAsia"/>
        </w:rPr>
        <w:t>プラチナ製剤感受性再発卵巣癌においてもベバシズマブの上乗せ効果を検証した試験が行われた（表14）。OCEANS 試験では，GC 療法＋ベバシズマブ併用/維持療法のPFS は12.4 カ月であり，GC 療法の8.4 カ月に比して有意な延長を示した（HR 0.48）</w:t>
      </w:r>
      <w:r w:rsidRPr="00FD5E77">
        <w:rPr>
          <w:rFonts w:hint="eastAsia"/>
          <w:highlight w:val="yellow"/>
          <w:vertAlign w:val="superscript"/>
        </w:rPr>
        <w:t>6）</w:t>
      </w:r>
      <w:r w:rsidRPr="00FD5E77">
        <w:rPr>
          <w:rFonts w:hint="eastAsia"/>
        </w:rPr>
        <w:t>。同様にプラチナ製剤感受性再発症例を対象としたGOG213 試験では，OS を主要評価項目としており，TC 療法＋ベバシズマブ併用/維持療法の42.2 カ月，TC 療法の37.3 カ月で，統計学的には有意差を示さなかったが（HR 0.83, p=0.056），不適格症例であるプラチナ製剤抵抗性再発45 例を除外した解析の結果，ベバシズマブ併用によりOS の有意な延長を示した（HR 0.82）。なおPFS は13.8 カ月であり，TC 療法の10.4 カ月に比して有意な延長を示した（HR 0.62）</w:t>
      </w:r>
      <w:r w:rsidRPr="00FD5E77">
        <w:rPr>
          <w:rFonts w:hint="eastAsia"/>
          <w:highlight w:val="yellow"/>
          <w:vertAlign w:val="superscript"/>
        </w:rPr>
        <w:t>7）</w:t>
      </w:r>
      <w:r w:rsidRPr="00FD5E77">
        <w:rPr>
          <w:rFonts w:hint="eastAsia"/>
        </w:rPr>
        <w:t>。</w:t>
      </w:r>
    </w:p>
    <w:p w14:paraId="2438E247" w14:textId="77777777" w:rsidR="001D0929" w:rsidRPr="00FD5E77" w:rsidRDefault="001D0929" w:rsidP="001D0929">
      <w:pPr>
        <w:ind w:firstLineChars="100" w:firstLine="210"/>
      </w:pPr>
      <w:r w:rsidRPr="00FD5E77">
        <w:rPr>
          <w:rFonts w:hint="eastAsia"/>
        </w:rPr>
        <w:t>さらにGC 療法＋ベバシズマブ併用/維持療法とPLD-C 療法＋ベバシズマブ併用/維持療法を比較したAGO-OVAR2.21/ENGOT-OV18 試験では，PLD-C＋ベバシズマブのPFS は13.3 カ月であり，GC＋ベバシズマブの11.6 カ月に比して有意な延長を示した（HR 0.81）。また，OS もGC＋ベバシズマブの27.8 カ月に比して，PLD-C＋ベバシズマブにおいて31.9 カ月（HR 0.81）と良好であった</w:t>
      </w:r>
      <w:r w:rsidRPr="00FD5E77">
        <w:rPr>
          <w:rFonts w:hint="eastAsia"/>
          <w:highlight w:val="yellow"/>
          <w:vertAlign w:val="superscript"/>
        </w:rPr>
        <w:t>8）</w:t>
      </w:r>
      <w:r w:rsidRPr="00FD5E77">
        <w:rPr>
          <w:rFonts w:hint="eastAsia"/>
        </w:rPr>
        <w:t>。</w:t>
      </w:r>
    </w:p>
    <w:p w14:paraId="354D74CB" w14:textId="77777777" w:rsidR="001D0929" w:rsidRPr="00FD5E77" w:rsidRDefault="001D0929" w:rsidP="001D0929">
      <w:pPr>
        <w:ind w:firstLineChars="100" w:firstLine="210"/>
      </w:pPr>
      <w:r w:rsidRPr="00FD5E77">
        <w:rPr>
          <w:rFonts w:hint="eastAsia"/>
        </w:rPr>
        <w:t>一方，生殖細胞系のBRCA1/2 変異を有するプラチナ製剤感受性再発卵巣癌（漿液性癌もしくは類内膜癌）を対象とした第Ⅲ相RCT であるSOLO-2 試験は，ベバシズマブを含まない化学療法を直前に4 サイクル以上行い，完全奏効（CR）あるいは部分奏効（PR）を得た症例に対する維持療法として，オラパリブ群（300 mg/回，1 日2 回：錠剤経口投与）とプラセボ群に，2：1 にランダム割付した。オラパリブ群のPFS は19.1 カ月であり，プラセボ群の5.5 カ月に比して有意なPFS の延長を示した（HR 0.30）</w:t>
      </w:r>
      <w:r w:rsidRPr="00FD5E77">
        <w:rPr>
          <w:rFonts w:hint="eastAsia"/>
          <w:highlight w:val="yellow"/>
          <w:vertAlign w:val="superscript"/>
        </w:rPr>
        <w:t>9）</w:t>
      </w:r>
      <w:r w:rsidRPr="00FD5E77">
        <w:rPr>
          <w:rFonts w:hint="eastAsia"/>
        </w:rPr>
        <w:t>。</w:t>
      </w:r>
    </w:p>
    <w:p w14:paraId="77864FA8" w14:textId="77777777" w:rsidR="001D0929" w:rsidRPr="00FD5E77" w:rsidRDefault="001D0929" w:rsidP="001D0929">
      <w:pPr>
        <w:ind w:firstLineChars="100" w:firstLine="210"/>
      </w:pPr>
      <w:r w:rsidRPr="00FD5E77">
        <w:rPr>
          <w:rFonts w:hint="eastAsia"/>
        </w:rPr>
        <w:t>BRCA1/2 変異の有無を問わず，プラチナ製剤感受性再発漿液性卵巣癌（高悪性度）を対象とした第Ⅱ相RCT であるStudy19 試験は，2 レジメン以上のプラチナ製剤を含む化学療法による既治療歴を有し，直前の4 サイクル以上の化学療法によりCR あるいはPR を得た症例に対する維持療法として，オラパリブ群（400 mg/回，1 日2 回：カプセル経口投与）とプラセボ群にランダム割付した。オラパリブ群のPFS は8.4 カ月であり，プラセボ群の4.8 カ月に比して有意な延長を示した（HR 0.35）</w:t>
      </w:r>
      <w:r w:rsidRPr="00FD5E77">
        <w:rPr>
          <w:rFonts w:hint="eastAsia"/>
          <w:highlight w:val="yellow"/>
          <w:vertAlign w:val="superscript"/>
        </w:rPr>
        <w:t>10）</w:t>
      </w:r>
      <w:r w:rsidRPr="00FD5E77">
        <w:rPr>
          <w:rFonts w:hint="eastAsia"/>
        </w:rPr>
        <w:t xml:space="preserve">。本試験では，BRCA1/2 変異の有無を検討し得た症例（全体の約95％）についてサブグループ解析を行った。BRCA1/2 </w:t>
      </w:r>
      <w:r w:rsidRPr="00662518">
        <w:rPr>
          <w:rFonts w:hint="eastAsia"/>
          <w:color w:val="FF0000"/>
        </w:rPr>
        <w:t>変異</w:t>
      </w:r>
      <w:r w:rsidR="00662518" w:rsidRPr="00662518">
        <w:rPr>
          <w:rFonts w:hint="eastAsia"/>
          <w:color w:val="FF0000"/>
        </w:rPr>
        <w:t>を有する症例</w:t>
      </w:r>
      <w:r w:rsidRPr="00FD5E77">
        <w:rPr>
          <w:rFonts w:hint="eastAsia"/>
        </w:rPr>
        <w:t>では，PFS がプラセボ群4.1 カ月に比してオラパリブ群11.2 カ月（HR 0.17）と著明に延長した。一方，BRCA1/2 野生型の症例においても，PFS がプラセボ群5.5 カ月に比してオラパリブ群8.3 カ月であり，HR 0.50 という明らかなPFS 延長が示された</w:t>
      </w:r>
      <w:r w:rsidRPr="00FD5E77">
        <w:rPr>
          <w:rFonts w:hint="eastAsia"/>
          <w:highlight w:val="yellow"/>
          <w:vertAlign w:val="superscript"/>
        </w:rPr>
        <w:t>11）</w:t>
      </w:r>
      <w:r w:rsidRPr="00FD5E77">
        <w:rPr>
          <w:rFonts w:hint="eastAsia"/>
        </w:rPr>
        <w:t>。</w:t>
      </w:r>
    </w:p>
    <w:p w14:paraId="76AADDE8" w14:textId="77777777" w:rsidR="001D0929" w:rsidRPr="006F2A6F" w:rsidRDefault="001D0929" w:rsidP="001D0929">
      <w:pPr>
        <w:ind w:firstLineChars="100" w:firstLine="210"/>
        <w:rPr>
          <w:color w:val="FF0000"/>
        </w:rPr>
      </w:pPr>
      <w:r w:rsidRPr="006F2A6F">
        <w:rPr>
          <w:rFonts w:hint="eastAsia"/>
          <w:color w:val="FF0000"/>
        </w:rPr>
        <w:t>BRCA1/2 変異がない再発卵巣癌症例においても，</w:t>
      </w:r>
      <w:r w:rsidR="00B20FA2" w:rsidRPr="006F2A6F">
        <w:rPr>
          <w:rFonts w:hint="eastAsia"/>
          <w:color w:val="FF0000"/>
        </w:rPr>
        <w:t xml:space="preserve"> </w:t>
      </w:r>
      <w:r w:rsidRPr="006F2A6F">
        <w:rPr>
          <w:rFonts w:hint="eastAsia"/>
          <w:color w:val="FF0000"/>
        </w:rPr>
        <w:t>HRD</w:t>
      </w:r>
      <w:r w:rsidR="00662518">
        <w:rPr>
          <w:rFonts w:hint="eastAsia"/>
          <w:color w:val="FF0000"/>
        </w:rPr>
        <w:t>の</w:t>
      </w:r>
      <w:r w:rsidRPr="006F2A6F">
        <w:rPr>
          <w:rFonts w:hint="eastAsia"/>
          <w:color w:val="FF0000"/>
        </w:rPr>
        <w:t>場合</w:t>
      </w:r>
      <w:r w:rsidR="00B20FA2">
        <w:rPr>
          <w:rFonts w:hint="eastAsia"/>
          <w:color w:val="FF0000"/>
        </w:rPr>
        <w:t>は</w:t>
      </w:r>
      <w:r w:rsidRPr="006F2A6F">
        <w:rPr>
          <w:rFonts w:hint="eastAsia"/>
          <w:color w:val="FF0000"/>
        </w:rPr>
        <w:t xml:space="preserve">，HRD </w:t>
      </w:r>
      <w:r w:rsidR="00662518">
        <w:rPr>
          <w:rFonts w:hint="eastAsia"/>
          <w:color w:val="FF0000"/>
        </w:rPr>
        <w:t>で</w:t>
      </w:r>
      <w:r w:rsidRPr="006F2A6F">
        <w:rPr>
          <w:rFonts w:hint="eastAsia"/>
          <w:color w:val="FF0000"/>
        </w:rPr>
        <w:t>ない場合</w:t>
      </w:r>
      <w:r w:rsidR="00B20FA2">
        <w:rPr>
          <w:rFonts w:hint="eastAsia"/>
          <w:color w:val="FF0000"/>
        </w:rPr>
        <w:t>に比べて</w:t>
      </w:r>
      <w:r w:rsidRPr="006F2A6F">
        <w:rPr>
          <w:rFonts w:hint="eastAsia"/>
          <w:color w:val="FF0000"/>
        </w:rPr>
        <w:t>PARP 阻害薬であるニラパリブやルカパリブの効果がより顕著である</w:t>
      </w:r>
      <w:r w:rsidRPr="006F2A6F">
        <w:rPr>
          <w:rFonts w:hint="eastAsia"/>
          <w:color w:val="FF0000"/>
          <w:highlight w:val="yellow"/>
          <w:vertAlign w:val="superscript"/>
        </w:rPr>
        <w:t>12,13）</w:t>
      </w:r>
      <w:r w:rsidRPr="006F2A6F">
        <w:rPr>
          <w:rFonts w:hint="eastAsia"/>
          <w:color w:val="FF0000"/>
        </w:rPr>
        <w:t>。</w:t>
      </w:r>
      <w:r w:rsidRPr="006F2A6F">
        <w:rPr>
          <w:rFonts w:hint="eastAsia"/>
          <w:color w:val="FF0000"/>
        </w:rPr>
        <w:lastRenderedPageBreak/>
        <w:t>BRCA1/2 変異の有無を問わず，プラチナ製剤感受性再発卵巣癌（高悪性度</w:t>
      </w:r>
      <w:r w:rsidR="000344F3">
        <w:rPr>
          <w:rFonts w:hint="eastAsia"/>
          <w:color w:val="FF0000"/>
        </w:rPr>
        <w:t>漿液性癌</w:t>
      </w:r>
      <w:r w:rsidRPr="006F2A6F">
        <w:rPr>
          <w:rFonts w:hint="eastAsia"/>
          <w:color w:val="FF0000"/>
        </w:rPr>
        <w:t>）を対象としたNOVA試験(</w:t>
      </w:r>
      <w:r w:rsidRPr="006F2A6F">
        <w:rPr>
          <w:color w:val="FF0000"/>
        </w:rPr>
        <w:t>Mirza et al. NEJM2016 p2155)</w:t>
      </w:r>
      <w:r w:rsidRPr="006F2A6F">
        <w:rPr>
          <w:rFonts w:hint="eastAsia"/>
          <w:color w:val="FF0000"/>
        </w:rPr>
        <w:t>では，2 レジメン以上のプラチナ製剤を含む化学療法による既治療歴を有し，直前の4 サイクル以上の化学療法によりCR あるいはPR を得た症例に対する維持療法として，ニラパリブ群（</w:t>
      </w:r>
      <w:r w:rsidRPr="006F2A6F">
        <w:rPr>
          <w:color w:val="FF0000"/>
        </w:rPr>
        <w:t>3</w:t>
      </w:r>
      <w:r w:rsidRPr="006F2A6F">
        <w:rPr>
          <w:rFonts w:hint="eastAsia"/>
          <w:color w:val="FF0000"/>
        </w:rPr>
        <w:t>00 mg/回，1 日1回：経口投与）とプラセボ群にランダム割付した。P</w:t>
      </w:r>
      <w:r w:rsidRPr="006F2A6F">
        <w:rPr>
          <w:color w:val="FF0000"/>
        </w:rPr>
        <w:t>FS</w:t>
      </w:r>
      <w:r w:rsidRPr="006F2A6F">
        <w:rPr>
          <w:rFonts w:hint="eastAsia"/>
          <w:color w:val="FF0000"/>
        </w:rPr>
        <w:t>はB</w:t>
      </w:r>
      <w:r w:rsidRPr="006F2A6F">
        <w:rPr>
          <w:color w:val="FF0000"/>
        </w:rPr>
        <w:t>RCA1/2</w:t>
      </w:r>
      <w:r w:rsidRPr="006F2A6F">
        <w:rPr>
          <w:rFonts w:hint="eastAsia"/>
          <w:color w:val="FF0000"/>
        </w:rPr>
        <w:t>変異</w:t>
      </w:r>
      <w:r w:rsidR="00F4205C">
        <w:rPr>
          <w:rFonts w:hint="eastAsia"/>
          <w:color w:val="FF0000"/>
        </w:rPr>
        <w:t>を有する症例</w:t>
      </w:r>
      <w:r w:rsidRPr="006F2A6F">
        <w:rPr>
          <w:rFonts w:hint="eastAsia"/>
          <w:color w:val="FF0000"/>
        </w:rPr>
        <w:t>でニラパリブ群2</w:t>
      </w:r>
      <w:r w:rsidRPr="006F2A6F">
        <w:rPr>
          <w:color w:val="FF0000"/>
        </w:rPr>
        <w:t>1</w:t>
      </w:r>
      <w:r w:rsidRPr="006F2A6F">
        <w:rPr>
          <w:rFonts w:hint="eastAsia"/>
          <w:color w:val="FF0000"/>
        </w:rPr>
        <w:t>ヶ月対プラセボ群5</w:t>
      </w:r>
      <w:r w:rsidRPr="006F2A6F">
        <w:rPr>
          <w:color w:val="FF0000"/>
        </w:rPr>
        <w:t>.5</w:t>
      </w:r>
      <w:r w:rsidRPr="006F2A6F">
        <w:rPr>
          <w:rFonts w:hint="eastAsia"/>
          <w:color w:val="FF0000"/>
        </w:rPr>
        <w:t>ヶ月(</w:t>
      </w:r>
      <w:r w:rsidRPr="006F2A6F">
        <w:rPr>
          <w:color w:val="FF0000"/>
        </w:rPr>
        <w:t>HR = 0.27)</w:t>
      </w:r>
      <w:r w:rsidRPr="006F2A6F">
        <w:rPr>
          <w:rFonts w:hint="eastAsia"/>
          <w:color w:val="FF0000"/>
        </w:rPr>
        <w:t>、B</w:t>
      </w:r>
      <w:r w:rsidRPr="006F2A6F">
        <w:rPr>
          <w:color w:val="FF0000"/>
        </w:rPr>
        <w:t>RCA1/2</w:t>
      </w:r>
      <w:r w:rsidRPr="006F2A6F">
        <w:rPr>
          <w:rFonts w:hint="eastAsia"/>
          <w:color w:val="FF0000"/>
        </w:rPr>
        <w:t>変異</w:t>
      </w:r>
      <w:r w:rsidR="00F4205C">
        <w:rPr>
          <w:rFonts w:hint="eastAsia"/>
          <w:color w:val="FF0000"/>
        </w:rPr>
        <w:t>のない症例</w:t>
      </w:r>
      <w:r w:rsidR="00AB5942" w:rsidRPr="006F2A6F">
        <w:rPr>
          <w:rFonts w:hint="eastAsia"/>
          <w:color w:val="FF0000"/>
        </w:rPr>
        <w:t>か</w:t>
      </w:r>
      <w:r w:rsidRPr="006F2A6F">
        <w:rPr>
          <w:rFonts w:hint="eastAsia"/>
          <w:color w:val="FF0000"/>
        </w:rPr>
        <w:t>つH</w:t>
      </w:r>
      <w:r w:rsidRPr="006F2A6F">
        <w:rPr>
          <w:color w:val="FF0000"/>
        </w:rPr>
        <w:t>RD</w:t>
      </w:r>
      <w:r w:rsidR="00F4205C">
        <w:rPr>
          <w:rFonts w:hint="eastAsia"/>
          <w:color w:val="FF0000"/>
        </w:rPr>
        <w:t>の場合</w:t>
      </w:r>
      <w:r w:rsidRPr="006F2A6F">
        <w:rPr>
          <w:rFonts w:hint="eastAsia"/>
          <w:color w:val="FF0000"/>
        </w:rPr>
        <w:t>でニラパリブ群1</w:t>
      </w:r>
      <w:r w:rsidRPr="006F2A6F">
        <w:rPr>
          <w:color w:val="FF0000"/>
        </w:rPr>
        <w:t>2.9</w:t>
      </w:r>
      <w:r w:rsidRPr="006F2A6F">
        <w:rPr>
          <w:rFonts w:hint="eastAsia"/>
          <w:color w:val="FF0000"/>
        </w:rPr>
        <w:t>ヶ月対プラセボ群3</w:t>
      </w:r>
      <w:r w:rsidRPr="006F2A6F">
        <w:rPr>
          <w:color w:val="FF0000"/>
        </w:rPr>
        <w:t>.8</w:t>
      </w:r>
      <w:r w:rsidRPr="006F2A6F">
        <w:rPr>
          <w:rFonts w:hint="eastAsia"/>
          <w:color w:val="FF0000"/>
        </w:rPr>
        <w:t>ヶ月(</w:t>
      </w:r>
      <w:r w:rsidRPr="006F2A6F">
        <w:rPr>
          <w:color w:val="FF0000"/>
        </w:rPr>
        <w:t>HR = 0.38)</w:t>
      </w:r>
      <w:r w:rsidRPr="006F2A6F">
        <w:rPr>
          <w:rFonts w:hint="eastAsia"/>
          <w:color w:val="FF0000"/>
        </w:rPr>
        <w:t>、B</w:t>
      </w:r>
      <w:r w:rsidRPr="006F2A6F">
        <w:rPr>
          <w:color w:val="FF0000"/>
        </w:rPr>
        <w:t>RCA1/2</w:t>
      </w:r>
      <w:r w:rsidRPr="006F2A6F">
        <w:rPr>
          <w:rFonts w:hint="eastAsia"/>
          <w:color w:val="FF0000"/>
        </w:rPr>
        <w:t>変異</w:t>
      </w:r>
      <w:r w:rsidR="00F4205C">
        <w:rPr>
          <w:rFonts w:hint="eastAsia"/>
          <w:color w:val="FF0000"/>
        </w:rPr>
        <w:t>のない</w:t>
      </w:r>
      <w:r w:rsidRPr="006F2A6F">
        <w:rPr>
          <w:rFonts w:hint="eastAsia"/>
          <w:color w:val="FF0000"/>
        </w:rPr>
        <w:t>全体でニラパリブ群9</w:t>
      </w:r>
      <w:r w:rsidRPr="006F2A6F">
        <w:rPr>
          <w:color w:val="FF0000"/>
        </w:rPr>
        <w:t>.3</w:t>
      </w:r>
      <w:r w:rsidRPr="006F2A6F">
        <w:rPr>
          <w:rFonts w:hint="eastAsia"/>
          <w:color w:val="FF0000"/>
        </w:rPr>
        <w:t>ヶ月対プラセボ群3</w:t>
      </w:r>
      <w:r w:rsidRPr="006F2A6F">
        <w:rPr>
          <w:color w:val="FF0000"/>
        </w:rPr>
        <w:t>.9</w:t>
      </w:r>
      <w:r w:rsidRPr="006F2A6F">
        <w:rPr>
          <w:rFonts w:hint="eastAsia"/>
          <w:color w:val="FF0000"/>
        </w:rPr>
        <w:t>ヶ月(</w:t>
      </w:r>
      <w:r w:rsidRPr="006F2A6F">
        <w:rPr>
          <w:color w:val="FF0000"/>
        </w:rPr>
        <w:t>HR=0.45)</w:t>
      </w:r>
      <w:r w:rsidRPr="006F2A6F">
        <w:rPr>
          <w:rFonts w:hint="eastAsia"/>
          <w:color w:val="FF0000"/>
        </w:rPr>
        <w:t>と事前に設定された3つの対象全てで有意差を示した。また、探索的解析ではH</w:t>
      </w:r>
      <w:r w:rsidRPr="006F2A6F">
        <w:rPr>
          <w:color w:val="FF0000"/>
        </w:rPr>
        <w:t>RD</w:t>
      </w:r>
      <w:r w:rsidR="00FD5E77" w:rsidRPr="006F2A6F">
        <w:rPr>
          <w:rFonts w:hint="eastAsia"/>
          <w:color w:val="FF0000"/>
        </w:rPr>
        <w:t>でない症例</w:t>
      </w:r>
      <w:r w:rsidRPr="006F2A6F">
        <w:rPr>
          <w:rFonts w:hint="eastAsia"/>
          <w:color w:val="FF0000"/>
        </w:rPr>
        <w:t>でもP</w:t>
      </w:r>
      <w:r w:rsidRPr="006F2A6F">
        <w:rPr>
          <w:color w:val="FF0000"/>
        </w:rPr>
        <w:t>FS</w:t>
      </w:r>
      <w:r w:rsidRPr="006F2A6F">
        <w:rPr>
          <w:rFonts w:hint="eastAsia"/>
          <w:color w:val="FF0000"/>
        </w:rPr>
        <w:t>はニラパリブ群6</w:t>
      </w:r>
      <w:r w:rsidRPr="006F2A6F">
        <w:rPr>
          <w:color w:val="FF0000"/>
        </w:rPr>
        <w:t>.9</w:t>
      </w:r>
      <w:r w:rsidRPr="006F2A6F">
        <w:rPr>
          <w:rFonts w:hint="eastAsia"/>
          <w:color w:val="FF0000"/>
        </w:rPr>
        <w:t>ヶ月対プラセボ群3</w:t>
      </w:r>
      <w:r w:rsidRPr="006F2A6F">
        <w:rPr>
          <w:color w:val="FF0000"/>
        </w:rPr>
        <w:t>.8</w:t>
      </w:r>
      <w:r w:rsidRPr="006F2A6F">
        <w:rPr>
          <w:rFonts w:hint="eastAsia"/>
          <w:color w:val="FF0000"/>
        </w:rPr>
        <w:t>ヶ月(</w:t>
      </w:r>
      <w:r w:rsidRPr="006F2A6F">
        <w:rPr>
          <w:color w:val="FF0000"/>
        </w:rPr>
        <w:t>HR=0.58; p = 0.02)</w:t>
      </w:r>
      <w:r w:rsidRPr="006F2A6F">
        <w:rPr>
          <w:rFonts w:hint="eastAsia"/>
          <w:color w:val="FF0000"/>
        </w:rPr>
        <w:t>と延長を示した。また、前化学療法レジメン数3以上の患者を対象とした第</w:t>
      </w:r>
      <w:r w:rsidR="00F4205C">
        <w:rPr>
          <w:color w:val="FF0000"/>
        </w:rPr>
        <w:t>II</w:t>
      </w:r>
      <w:r w:rsidRPr="006F2A6F">
        <w:rPr>
          <w:rFonts w:hint="eastAsia"/>
          <w:color w:val="FF0000"/>
        </w:rPr>
        <w:t>相試験Q</w:t>
      </w:r>
      <w:r w:rsidRPr="006F2A6F">
        <w:rPr>
          <w:color w:val="FF0000"/>
        </w:rPr>
        <w:t>UADRA</w:t>
      </w:r>
      <w:r w:rsidRPr="006F2A6F">
        <w:rPr>
          <w:rFonts w:hint="eastAsia"/>
          <w:color w:val="FF0000"/>
        </w:rPr>
        <w:t>試験(</w:t>
      </w:r>
      <w:r w:rsidRPr="006F2A6F">
        <w:rPr>
          <w:color w:val="FF0000"/>
        </w:rPr>
        <w:t>Moore et al. LancetOncol2019 p636)</w:t>
      </w:r>
      <w:r w:rsidRPr="006F2A6F">
        <w:rPr>
          <w:rFonts w:hint="eastAsia"/>
          <w:color w:val="FF0000"/>
        </w:rPr>
        <w:t>では、症例数の設定根拠に用いられた「H</w:t>
      </w:r>
      <w:r w:rsidRPr="006F2A6F">
        <w:rPr>
          <w:color w:val="FF0000"/>
        </w:rPr>
        <w:t>RD</w:t>
      </w:r>
      <w:r w:rsidRPr="006F2A6F">
        <w:rPr>
          <w:rFonts w:hint="eastAsia"/>
          <w:color w:val="FF0000"/>
        </w:rPr>
        <w:t>」かつ「前治療レジメン数3又は4」かつ「プラチナ</w:t>
      </w:r>
      <w:r w:rsidR="0046081E">
        <w:rPr>
          <w:rFonts w:hint="eastAsia"/>
          <w:color w:val="FF0000"/>
        </w:rPr>
        <w:t>製剤</w:t>
      </w:r>
      <w:r w:rsidRPr="006F2A6F">
        <w:rPr>
          <w:rFonts w:hint="eastAsia"/>
          <w:color w:val="FF0000"/>
        </w:rPr>
        <w:t>感受性」の47例中13例(28</w:t>
      </w:r>
      <w:r w:rsidRPr="006F2A6F">
        <w:rPr>
          <w:color w:val="FF0000"/>
        </w:rPr>
        <w:t>%; 95%C.I. 15.6 – 42.6%)</w:t>
      </w:r>
      <w:r w:rsidRPr="006F2A6F">
        <w:rPr>
          <w:rFonts w:hint="eastAsia"/>
          <w:color w:val="FF0000"/>
        </w:rPr>
        <w:t>で奏効が</w:t>
      </w:r>
      <w:r w:rsidR="0046081E">
        <w:rPr>
          <w:rFonts w:hint="eastAsia"/>
          <w:color w:val="FF0000"/>
        </w:rPr>
        <w:t>認めら</w:t>
      </w:r>
      <w:r w:rsidRPr="006F2A6F">
        <w:rPr>
          <w:rFonts w:hint="eastAsia"/>
          <w:color w:val="FF0000"/>
        </w:rPr>
        <w:t>れた。</w:t>
      </w:r>
    </w:p>
    <w:p w14:paraId="1410137B" w14:textId="77777777" w:rsidR="001D0929" w:rsidRPr="00FD5E77" w:rsidRDefault="001D0929" w:rsidP="001D0929"/>
    <w:p w14:paraId="47C81573" w14:textId="77777777" w:rsidR="001D0929" w:rsidRPr="00FD5E77" w:rsidRDefault="001D0929" w:rsidP="001D0929"/>
    <w:p w14:paraId="61EBA65B" w14:textId="77777777" w:rsidR="001D0929" w:rsidRPr="00FD5E77" w:rsidRDefault="001D0929" w:rsidP="001D0929">
      <w:pPr>
        <w:suppressLineNumbers/>
        <w:jc w:val="center"/>
        <w:rPr>
          <w:rFonts w:ascii="ＭＳ Ｐゴシック" w:eastAsia="ＭＳ Ｐゴシック" w:hAnsi="ＭＳ Ｐゴシック"/>
          <w:b/>
        </w:rPr>
      </w:pPr>
      <w:r w:rsidRPr="00FD5E77">
        <w:rPr>
          <w:rFonts w:ascii="ＭＳ Ｐゴシック" w:eastAsia="ＭＳ Ｐゴシック" w:hAnsi="ＭＳ Ｐゴシック" w:hint="eastAsia"/>
          <w:b/>
        </w:rPr>
        <w:t>表14　再発卵巣癌の化学療法</w:t>
      </w:r>
    </w:p>
    <w:p w14:paraId="2859D923" w14:textId="77777777" w:rsidR="001D0929" w:rsidRPr="00FD5E77" w:rsidRDefault="001D0929" w:rsidP="001D0929">
      <w:pPr>
        <w:suppressLineNumbers/>
        <w:jc w:val="center"/>
        <w:rPr>
          <w:sz w:val="18"/>
          <w:szCs w:val="18"/>
        </w:rPr>
      </w:pPr>
      <w:r w:rsidRPr="00FD5E77">
        <w:rPr>
          <w:rFonts w:hint="eastAsia"/>
          <w:sz w:val="18"/>
          <w:szCs w:val="18"/>
        </w:rPr>
        <w:t>（プラチナ製剤感受性症例に対する第Ⅲ相ランダム化比較試験）</w:t>
      </w:r>
    </w:p>
    <w:tbl>
      <w:tblPr>
        <w:tblW w:w="8780" w:type="dxa"/>
        <w:tblInd w:w="84" w:type="dxa"/>
        <w:tblCellMar>
          <w:left w:w="99" w:type="dxa"/>
          <w:right w:w="99" w:type="dxa"/>
        </w:tblCellMar>
        <w:tblLook w:val="04A0" w:firstRow="1" w:lastRow="0" w:firstColumn="1" w:lastColumn="0" w:noHBand="0" w:noVBand="1"/>
      </w:tblPr>
      <w:tblGrid>
        <w:gridCol w:w="1780"/>
        <w:gridCol w:w="4047"/>
        <w:gridCol w:w="2953"/>
      </w:tblGrid>
      <w:tr w:rsidR="00FD5E77" w:rsidRPr="00FD5E77" w14:paraId="7D655694" w14:textId="77777777" w:rsidTr="006D750D">
        <w:trPr>
          <w:trHeight w:val="360"/>
        </w:trPr>
        <w:tc>
          <w:tcPr>
            <w:tcW w:w="1780" w:type="dxa"/>
            <w:tcBorders>
              <w:top w:val="single" w:sz="8" w:space="0" w:color="auto"/>
              <w:left w:val="single" w:sz="8" w:space="0" w:color="auto"/>
              <w:bottom w:val="single" w:sz="8" w:space="0" w:color="auto"/>
              <w:right w:val="nil"/>
            </w:tcBorders>
            <w:shd w:val="clear" w:color="000000" w:fill="D0CECE"/>
            <w:vAlign w:val="center"/>
            <w:hideMark/>
          </w:tcPr>
          <w:p w14:paraId="19EBD2A8" w14:textId="77777777" w:rsidR="001D0929" w:rsidRPr="00FD5E77" w:rsidRDefault="001D0929" w:rsidP="006D750D">
            <w:pPr>
              <w:widowControl/>
              <w:snapToGrid w:val="0"/>
              <w:jc w:val="center"/>
              <w:rPr>
                <w:rFonts w:ascii="ＭＳ 明朝" w:eastAsia="ＭＳ 明朝" w:hAnsi="ＭＳ 明朝" w:cs="Times New Roman"/>
                <w:kern w:val="0"/>
                <w:sz w:val="18"/>
                <w:szCs w:val="18"/>
              </w:rPr>
            </w:pPr>
            <w:r w:rsidRPr="00FD5E77">
              <w:rPr>
                <w:rFonts w:ascii="ＭＳ 明朝" w:eastAsia="ＭＳ 明朝" w:hAnsi="ＭＳ 明朝" w:cs="Times New Roman" w:hint="eastAsia"/>
                <w:kern w:val="0"/>
                <w:sz w:val="18"/>
                <w:szCs w:val="18"/>
              </w:rPr>
              <w:t>試験名（症例数）</w:t>
            </w:r>
          </w:p>
        </w:tc>
        <w:tc>
          <w:tcPr>
            <w:tcW w:w="4047"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06FD40B1" w14:textId="77777777" w:rsidR="001D0929" w:rsidRPr="00FD5E77" w:rsidRDefault="001D0929" w:rsidP="006D750D">
            <w:pPr>
              <w:widowControl/>
              <w:snapToGrid w:val="0"/>
              <w:jc w:val="center"/>
              <w:rPr>
                <w:rFonts w:ascii="ＭＳ 明朝" w:eastAsia="ＭＳ 明朝" w:hAnsi="ＭＳ 明朝" w:cs="Times New Roman"/>
                <w:kern w:val="0"/>
                <w:sz w:val="18"/>
                <w:szCs w:val="18"/>
              </w:rPr>
            </w:pPr>
            <w:r w:rsidRPr="00FD5E77">
              <w:rPr>
                <w:rFonts w:ascii="ＭＳ 明朝" w:eastAsia="ＭＳ 明朝" w:hAnsi="ＭＳ 明朝" w:cs="Times New Roman" w:hint="eastAsia"/>
                <w:kern w:val="0"/>
                <w:sz w:val="18"/>
                <w:szCs w:val="18"/>
              </w:rPr>
              <w:t>薬</w:t>
            </w:r>
            <w:r w:rsidRPr="00FD5E77">
              <w:rPr>
                <w:rFonts w:ascii="Century" w:eastAsia="ＭＳ 明朝" w:hAnsi="Century" w:cs="Times New Roman"/>
                <w:kern w:val="0"/>
                <w:sz w:val="18"/>
                <w:szCs w:val="18"/>
              </w:rPr>
              <w:t xml:space="preserve"> </w:t>
            </w:r>
            <w:r w:rsidRPr="00FD5E77">
              <w:rPr>
                <w:rFonts w:ascii="ＭＳ 明朝" w:eastAsia="ＭＳ 明朝" w:hAnsi="ＭＳ 明朝" w:cs="Times New Roman" w:hint="eastAsia"/>
                <w:kern w:val="0"/>
                <w:sz w:val="18"/>
                <w:szCs w:val="18"/>
              </w:rPr>
              <w:t>剤</w:t>
            </w:r>
          </w:p>
        </w:tc>
        <w:tc>
          <w:tcPr>
            <w:tcW w:w="2953" w:type="dxa"/>
            <w:tcBorders>
              <w:top w:val="single" w:sz="8" w:space="0" w:color="auto"/>
              <w:left w:val="nil"/>
              <w:bottom w:val="single" w:sz="8" w:space="0" w:color="auto"/>
              <w:right w:val="single" w:sz="8" w:space="0" w:color="auto"/>
            </w:tcBorders>
            <w:shd w:val="clear" w:color="000000" w:fill="D0CECE"/>
            <w:vAlign w:val="center"/>
            <w:hideMark/>
          </w:tcPr>
          <w:p w14:paraId="3CA7689E" w14:textId="77777777" w:rsidR="001D0929" w:rsidRPr="00FD5E77" w:rsidRDefault="001D0929" w:rsidP="006D750D">
            <w:pPr>
              <w:widowControl/>
              <w:snapToGrid w:val="0"/>
              <w:jc w:val="center"/>
              <w:rPr>
                <w:rFonts w:ascii="ＭＳ 明朝" w:eastAsia="ＭＳ 明朝" w:hAnsi="ＭＳ 明朝" w:cs="Times New Roman"/>
                <w:kern w:val="0"/>
                <w:sz w:val="18"/>
                <w:szCs w:val="18"/>
              </w:rPr>
            </w:pPr>
            <w:r w:rsidRPr="00FD5E77">
              <w:rPr>
                <w:rFonts w:ascii="ＭＳ 明朝" w:eastAsia="ＭＳ 明朝" w:hAnsi="ＭＳ 明朝" w:cs="Times New Roman" w:hint="eastAsia"/>
                <w:kern w:val="0"/>
                <w:sz w:val="18"/>
                <w:szCs w:val="18"/>
              </w:rPr>
              <w:t>結</w:t>
            </w:r>
            <w:r w:rsidRPr="00FD5E77">
              <w:rPr>
                <w:rFonts w:ascii="Century" w:eastAsia="ＭＳ 明朝" w:hAnsi="Century" w:cs="Times New Roman"/>
                <w:kern w:val="0"/>
                <w:sz w:val="18"/>
                <w:szCs w:val="18"/>
              </w:rPr>
              <w:t xml:space="preserve"> </w:t>
            </w:r>
            <w:r w:rsidRPr="00FD5E77">
              <w:rPr>
                <w:rFonts w:ascii="ＭＳ 明朝" w:eastAsia="ＭＳ 明朝" w:hAnsi="ＭＳ 明朝" w:cs="Times New Roman" w:hint="eastAsia"/>
                <w:kern w:val="0"/>
                <w:sz w:val="18"/>
                <w:szCs w:val="18"/>
              </w:rPr>
              <w:t>果</w:t>
            </w:r>
          </w:p>
        </w:tc>
      </w:tr>
      <w:tr w:rsidR="00FD5E77" w:rsidRPr="00FD5E77" w14:paraId="0A9DFCAA"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33B75C29"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ICON4/</w:t>
            </w:r>
          </w:p>
        </w:tc>
        <w:tc>
          <w:tcPr>
            <w:tcW w:w="4047" w:type="dxa"/>
            <w:tcBorders>
              <w:top w:val="nil"/>
              <w:left w:val="single" w:sz="8" w:space="0" w:color="auto"/>
              <w:bottom w:val="nil"/>
              <w:right w:val="single" w:sz="8" w:space="0" w:color="auto"/>
            </w:tcBorders>
            <w:shd w:val="clear" w:color="auto" w:fill="auto"/>
            <w:vAlign w:val="center"/>
            <w:hideMark/>
          </w:tcPr>
          <w:p w14:paraId="1C57560E"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プラチナ＋タキサンを含む化学療法</w:t>
            </w:r>
          </w:p>
        </w:tc>
        <w:tc>
          <w:tcPr>
            <w:tcW w:w="2953" w:type="dxa"/>
            <w:tcBorders>
              <w:top w:val="nil"/>
              <w:left w:val="nil"/>
              <w:bottom w:val="nil"/>
              <w:right w:val="single" w:sz="8" w:space="0" w:color="auto"/>
            </w:tcBorders>
            <w:shd w:val="clear" w:color="auto" w:fill="auto"/>
            <w:vAlign w:val="center"/>
            <w:hideMark/>
          </w:tcPr>
          <w:p w14:paraId="5D8D23A9"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primary endpoint：OS</w:t>
            </w:r>
          </w:p>
        </w:tc>
      </w:tr>
      <w:tr w:rsidR="00FD5E77" w:rsidRPr="00FD5E77" w14:paraId="3425840D" w14:textId="77777777" w:rsidTr="006D750D">
        <w:trPr>
          <w:trHeight w:val="492"/>
        </w:trPr>
        <w:tc>
          <w:tcPr>
            <w:tcW w:w="1780" w:type="dxa"/>
            <w:tcBorders>
              <w:top w:val="nil"/>
              <w:left w:val="single" w:sz="8" w:space="0" w:color="auto"/>
              <w:bottom w:val="nil"/>
              <w:right w:val="nil"/>
            </w:tcBorders>
            <w:shd w:val="clear" w:color="auto" w:fill="auto"/>
            <w:vAlign w:val="center"/>
            <w:hideMark/>
          </w:tcPr>
          <w:p w14:paraId="69F2B94E"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OVAR 2.2試験</w:t>
            </w:r>
            <w:r w:rsidRPr="00FD5E77">
              <w:rPr>
                <w:rFonts w:cs="Times New Roman"/>
                <w:kern w:val="0"/>
                <w:sz w:val="18"/>
                <w:szCs w:val="18"/>
                <w:highlight w:val="yellow"/>
                <w:vertAlign w:val="superscript"/>
              </w:rPr>
              <w:t>2）</w:t>
            </w:r>
          </w:p>
        </w:tc>
        <w:tc>
          <w:tcPr>
            <w:tcW w:w="4047" w:type="dxa"/>
            <w:tcBorders>
              <w:top w:val="nil"/>
              <w:left w:val="single" w:sz="8" w:space="0" w:color="auto"/>
              <w:bottom w:val="single" w:sz="4" w:space="0" w:color="auto"/>
              <w:right w:val="single" w:sz="8" w:space="0" w:color="auto"/>
            </w:tcBorders>
            <w:shd w:val="clear" w:color="auto" w:fill="auto"/>
            <w:vAlign w:val="center"/>
            <w:hideMark/>
          </w:tcPr>
          <w:p w14:paraId="1FBBE457"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（80％：TC，10％：TP）</w:t>
            </w:r>
          </w:p>
        </w:tc>
        <w:tc>
          <w:tcPr>
            <w:tcW w:w="2953" w:type="dxa"/>
            <w:tcBorders>
              <w:top w:val="nil"/>
              <w:left w:val="nil"/>
              <w:bottom w:val="nil"/>
              <w:right w:val="single" w:sz="8" w:space="0" w:color="auto"/>
            </w:tcBorders>
            <w:shd w:val="clear" w:color="auto" w:fill="auto"/>
            <w:vAlign w:val="center"/>
            <w:hideMark/>
          </w:tcPr>
          <w:p w14:paraId="0633B2E1"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OS 29カ月 vs. 24カ月</w:t>
            </w:r>
          </w:p>
          <w:p w14:paraId="086209FA"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プラチナにタキサンを含む化学療法が良好</w:t>
            </w:r>
          </w:p>
        </w:tc>
      </w:tr>
      <w:tr w:rsidR="00FD5E77" w:rsidRPr="00FD5E77" w14:paraId="1E34C8F5"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1E47C47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（802例）</w:t>
            </w:r>
          </w:p>
        </w:tc>
        <w:tc>
          <w:tcPr>
            <w:tcW w:w="4047" w:type="dxa"/>
            <w:tcBorders>
              <w:top w:val="nil"/>
              <w:left w:val="single" w:sz="8" w:space="0" w:color="auto"/>
              <w:bottom w:val="nil"/>
              <w:right w:val="single" w:sz="8" w:space="0" w:color="auto"/>
            </w:tcBorders>
            <w:shd w:val="clear" w:color="auto" w:fill="auto"/>
            <w:vAlign w:val="center"/>
            <w:hideMark/>
          </w:tcPr>
          <w:p w14:paraId="42489F42"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プラチナを含む古典的化学療法</w:t>
            </w:r>
          </w:p>
        </w:tc>
        <w:tc>
          <w:tcPr>
            <w:tcW w:w="2953" w:type="dxa"/>
            <w:tcBorders>
              <w:top w:val="nil"/>
              <w:left w:val="nil"/>
              <w:bottom w:val="nil"/>
              <w:right w:val="single" w:sz="8" w:space="0" w:color="auto"/>
            </w:tcBorders>
            <w:shd w:val="clear" w:color="auto" w:fill="auto"/>
            <w:hideMark/>
          </w:tcPr>
          <w:p w14:paraId="7712903F" w14:textId="77777777" w:rsidR="001D0929" w:rsidRPr="00FD5E77" w:rsidRDefault="001D0929" w:rsidP="006D750D">
            <w:pPr>
              <w:widowControl/>
              <w:snapToGrid w:val="0"/>
              <w:jc w:val="left"/>
              <w:rPr>
                <w:rFonts w:cs="Times New Roman"/>
                <w:kern w:val="0"/>
                <w:sz w:val="18"/>
                <w:szCs w:val="18"/>
              </w:rPr>
            </w:pPr>
          </w:p>
        </w:tc>
      </w:tr>
      <w:tr w:rsidR="00FD5E77" w:rsidRPr="00FD5E77" w14:paraId="116E8939" w14:textId="77777777" w:rsidTr="006D750D">
        <w:trPr>
          <w:trHeight w:val="360"/>
        </w:trPr>
        <w:tc>
          <w:tcPr>
            <w:tcW w:w="1780" w:type="dxa"/>
            <w:tcBorders>
              <w:top w:val="nil"/>
              <w:left w:val="single" w:sz="8" w:space="0" w:color="auto"/>
              <w:bottom w:val="single" w:sz="8" w:space="0" w:color="auto"/>
              <w:right w:val="nil"/>
            </w:tcBorders>
            <w:shd w:val="clear" w:color="auto" w:fill="auto"/>
            <w:vAlign w:val="center"/>
            <w:hideMark/>
          </w:tcPr>
          <w:p w14:paraId="6A0E3372" w14:textId="77777777" w:rsidR="001D0929" w:rsidRPr="00FD5E77" w:rsidRDefault="001D0929" w:rsidP="006D750D">
            <w:pPr>
              <w:widowControl/>
              <w:snapToGrid w:val="0"/>
              <w:rPr>
                <w:rFonts w:cs="Times New Roman"/>
                <w:kern w:val="0"/>
                <w:sz w:val="18"/>
                <w:szCs w:val="18"/>
              </w:rPr>
            </w:pPr>
          </w:p>
        </w:tc>
        <w:tc>
          <w:tcPr>
            <w:tcW w:w="4047" w:type="dxa"/>
            <w:tcBorders>
              <w:top w:val="nil"/>
              <w:left w:val="single" w:sz="8" w:space="0" w:color="auto"/>
              <w:bottom w:val="single" w:sz="8" w:space="0" w:color="auto"/>
              <w:right w:val="single" w:sz="8" w:space="0" w:color="auto"/>
            </w:tcBorders>
            <w:shd w:val="clear" w:color="auto" w:fill="auto"/>
            <w:vAlign w:val="center"/>
            <w:hideMark/>
          </w:tcPr>
          <w:p w14:paraId="3DD89174"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（71％：カルボプラチン単剤，17％：CAP）</w:t>
            </w:r>
          </w:p>
        </w:tc>
        <w:tc>
          <w:tcPr>
            <w:tcW w:w="2953" w:type="dxa"/>
            <w:tcBorders>
              <w:top w:val="nil"/>
              <w:left w:val="nil"/>
              <w:bottom w:val="single" w:sz="8" w:space="0" w:color="auto"/>
              <w:right w:val="single" w:sz="8" w:space="0" w:color="auto"/>
            </w:tcBorders>
            <w:shd w:val="clear" w:color="auto" w:fill="auto"/>
            <w:hideMark/>
          </w:tcPr>
          <w:p w14:paraId="3850DE57" w14:textId="77777777" w:rsidR="001D0929" w:rsidRPr="00FD5E77" w:rsidRDefault="001D0929" w:rsidP="006D750D">
            <w:pPr>
              <w:widowControl/>
              <w:snapToGrid w:val="0"/>
              <w:jc w:val="left"/>
              <w:rPr>
                <w:rFonts w:cs="Times New Roman"/>
                <w:kern w:val="0"/>
                <w:sz w:val="18"/>
                <w:szCs w:val="18"/>
              </w:rPr>
            </w:pPr>
          </w:p>
        </w:tc>
      </w:tr>
      <w:tr w:rsidR="00FD5E77" w:rsidRPr="00FD5E77" w14:paraId="583CDCA9"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58930C79"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OVAR 2.5試験</w:t>
            </w:r>
            <w:r w:rsidRPr="00FD5E77">
              <w:rPr>
                <w:rFonts w:cs="Times New Roman"/>
                <w:kern w:val="0"/>
                <w:sz w:val="18"/>
                <w:szCs w:val="18"/>
                <w:highlight w:val="yellow"/>
                <w:vertAlign w:val="superscript"/>
              </w:rPr>
              <w:t>3）</w:t>
            </w:r>
          </w:p>
        </w:tc>
        <w:tc>
          <w:tcPr>
            <w:tcW w:w="4047" w:type="dxa"/>
            <w:tcBorders>
              <w:top w:val="nil"/>
              <w:left w:val="single" w:sz="8" w:space="0" w:color="auto"/>
              <w:bottom w:val="nil"/>
              <w:right w:val="single" w:sz="8" w:space="0" w:color="auto"/>
            </w:tcBorders>
            <w:shd w:val="clear" w:color="auto" w:fill="auto"/>
            <w:vAlign w:val="center"/>
            <w:hideMark/>
          </w:tcPr>
          <w:p w14:paraId="1C5263B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4 day 1</w:t>
            </w:r>
          </w:p>
        </w:tc>
        <w:tc>
          <w:tcPr>
            <w:tcW w:w="2953" w:type="dxa"/>
            <w:tcBorders>
              <w:top w:val="nil"/>
              <w:left w:val="nil"/>
              <w:bottom w:val="nil"/>
              <w:right w:val="single" w:sz="8" w:space="0" w:color="auto"/>
            </w:tcBorders>
            <w:shd w:val="clear" w:color="auto" w:fill="auto"/>
            <w:vAlign w:val="center"/>
            <w:hideMark/>
          </w:tcPr>
          <w:p w14:paraId="1FC80A38"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primary endpoint：PFS</w:t>
            </w:r>
          </w:p>
        </w:tc>
      </w:tr>
      <w:tr w:rsidR="00FD5E77" w:rsidRPr="00FD5E77" w14:paraId="46889BDC" w14:textId="77777777" w:rsidTr="006D750D">
        <w:trPr>
          <w:trHeight w:val="732"/>
        </w:trPr>
        <w:tc>
          <w:tcPr>
            <w:tcW w:w="1780" w:type="dxa"/>
            <w:tcBorders>
              <w:top w:val="nil"/>
              <w:left w:val="single" w:sz="8" w:space="0" w:color="auto"/>
              <w:bottom w:val="nil"/>
              <w:right w:val="nil"/>
            </w:tcBorders>
            <w:shd w:val="clear" w:color="auto" w:fill="auto"/>
            <w:vAlign w:val="center"/>
            <w:hideMark/>
          </w:tcPr>
          <w:p w14:paraId="31EA22D3"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（365例）</w:t>
            </w:r>
          </w:p>
        </w:tc>
        <w:tc>
          <w:tcPr>
            <w:tcW w:w="4047" w:type="dxa"/>
            <w:tcBorders>
              <w:top w:val="nil"/>
              <w:left w:val="single" w:sz="8" w:space="0" w:color="auto"/>
              <w:bottom w:val="single" w:sz="4" w:space="0" w:color="auto"/>
              <w:right w:val="single" w:sz="8" w:space="0" w:color="auto"/>
            </w:tcBorders>
            <w:shd w:val="clear" w:color="auto" w:fill="auto"/>
            <w:vAlign w:val="center"/>
            <w:hideMark/>
          </w:tcPr>
          <w:p w14:paraId="7E46D3E9"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＋ゲムシタビン1,000 mg/m</w:t>
            </w:r>
            <w:r w:rsidRPr="00FD5E77">
              <w:rPr>
                <w:rFonts w:cs="Times New Roman"/>
                <w:kern w:val="0"/>
                <w:sz w:val="18"/>
                <w:szCs w:val="18"/>
                <w:highlight w:val="yellow"/>
                <w:vertAlign w:val="superscript"/>
              </w:rPr>
              <w:t>2</w:t>
            </w:r>
            <w:r w:rsidRPr="00FD5E77">
              <w:rPr>
                <w:rFonts w:cs="Times New Roman"/>
                <w:kern w:val="0"/>
                <w:sz w:val="18"/>
                <w:szCs w:val="18"/>
              </w:rPr>
              <w:t xml:space="preserve"> day 1, 8</w:t>
            </w:r>
          </w:p>
        </w:tc>
        <w:tc>
          <w:tcPr>
            <w:tcW w:w="2953" w:type="dxa"/>
            <w:tcBorders>
              <w:top w:val="nil"/>
              <w:left w:val="nil"/>
              <w:bottom w:val="nil"/>
              <w:right w:val="single" w:sz="8" w:space="0" w:color="auto"/>
            </w:tcBorders>
            <w:shd w:val="clear" w:color="auto" w:fill="auto"/>
            <w:vAlign w:val="center"/>
            <w:hideMark/>
          </w:tcPr>
          <w:p w14:paraId="7E3C9AFC" w14:textId="77777777" w:rsidR="001D0929" w:rsidRPr="00FD5E77" w:rsidRDefault="001D0929" w:rsidP="006D750D">
            <w:pPr>
              <w:widowControl/>
              <w:snapToGrid w:val="0"/>
              <w:jc w:val="left"/>
              <w:rPr>
                <w:rFonts w:cs="Times New Roman"/>
                <w:kern w:val="0"/>
                <w:sz w:val="18"/>
                <w:szCs w:val="18"/>
              </w:rPr>
            </w:pPr>
            <w:r w:rsidRPr="00FD5E77">
              <w:rPr>
                <w:rFonts w:cs="Times New Roman"/>
                <w:kern w:val="0"/>
                <w:sz w:val="18"/>
                <w:szCs w:val="18"/>
              </w:rPr>
              <w:t>PFS 8.6カ月 vs. 5.8カ月</w:t>
            </w:r>
          </w:p>
          <w:p w14:paraId="7612B3CC" w14:textId="77777777" w:rsidR="001D0929" w:rsidRPr="00FD5E77" w:rsidRDefault="001D0929" w:rsidP="006D750D">
            <w:pPr>
              <w:widowControl/>
              <w:snapToGrid w:val="0"/>
              <w:jc w:val="left"/>
              <w:rPr>
                <w:rFonts w:cs="Times New Roman"/>
                <w:kern w:val="0"/>
                <w:sz w:val="18"/>
                <w:szCs w:val="18"/>
              </w:rPr>
            </w:pPr>
            <w:r w:rsidRPr="00FD5E77">
              <w:rPr>
                <w:rFonts w:cs="Times New Roman"/>
                <w:kern w:val="0"/>
                <w:sz w:val="18"/>
                <w:szCs w:val="18"/>
              </w:rPr>
              <w:t>併用群で良好</w:t>
            </w:r>
          </w:p>
        </w:tc>
      </w:tr>
      <w:tr w:rsidR="00FD5E77" w:rsidRPr="00FD5E77" w14:paraId="6231AAC3" w14:textId="77777777" w:rsidTr="006D750D">
        <w:trPr>
          <w:trHeight w:val="360"/>
        </w:trPr>
        <w:tc>
          <w:tcPr>
            <w:tcW w:w="1780" w:type="dxa"/>
            <w:tcBorders>
              <w:top w:val="nil"/>
              <w:left w:val="single" w:sz="8" w:space="0" w:color="auto"/>
              <w:bottom w:val="single" w:sz="8" w:space="0" w:color="auto"/>
              <w:right w:val="nil"/>
            </w:tcBorders>
            <w:shd w:val="clear" w:color="auto" w:fill="auto"/>
            <w:hideMark/>
          </w:tcPr>
          <w:p w14:paraId="01D01F6B" w14:textId="77777777" w:rsidR="001D0929" w:rsidRPr="00FD5E77" w:rsidRDefault="001D0929" w:rsidP="006D750D">
            <w:pPr>
              <w:widowControl/>
              <w:snapToGrid w:val="0"/>
              <w:jc w:val="left"/>
              <w:rPr>
                <w:rFonts w:cs="Times New Roman"/>
                <w:kern w:val="0"/>
                <w:sz w:val="18"/>
                <w:szCs w:val="18"/>
              </w:rPr>
            </w:pPr>
          </w:p>
        </w:tc>
        <w:tc>
          <w:tcPr>
            <w:tcW w:w="4047" w:type="dxa"/>
            <w:tcBorders>
              <w:top w:val="nil"/>
              <w:left w:val="single" w:sz="8" w:space="0" w:color="auto"/>
              <w:bottom w:val="single" w:sz="8" w:space="0" w:color="auto"/>
              <w:right w:val="single" w:sz="8" w:space="0" w:color="auto"/>
            </w:tcBorders>
            <w:shd w:val="clear" w:color="auto" w:fill="auto"/>
            <w:vAlign w:val="center"/>
            <w:hideMark/>
          </w:tcPr>
          <w:p w14:paraId="2851ECD7"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5 day 1</w:t>
            </w:r>
          </w:p>
        </w:tc>
        <w:tc>
          <w:tcPr>
            <w:tcW w:w="2953" w:type="dxa"/>
            <w:tcBorders>
              <w:top w:val="nil"/>
              <w:left w:val="nil"/>
              <w:bottom w:val="single" w:sz="8" w:space="0" w:color="auto"/>
              <w:right w:val="single" w:sz="8" w:space="0" w:color="auto"/>
            </w:tcBorders>
            <w:shd w:val="clear" w:color="auto" w:fill="auto"/>
            <w:vAlign w:val="center"/>
            <w:hideMark/>
          </w:tcPr>
          <w:p w14:paraId="69F7CAF3" w14:textId="77777777" w:rsidR="001D0929" w:rsidRPr="00FD5E77" w:rsidRDefault="001D0929" w:rsidP="006D750D">
            <w:pPr>
              <w:widowControl/>
              <w:snapToGrid w:val="0"/>
              <w:jc w:val="left"/>
              <w:rPr>
                <w:rFonts w:cs="Times New Roman"/>
                <w:kern w:val="0"/>
                <w:sz w:val="18"/>
                <w:szCs w:val="18"/>
              </w:rPr>
            </w:pPr>
          </w:p>
        </w:tc>
      </w:tr>
      <w:tr w:rsidR="00FD5E77" w:rsidRPr="00FD5E77" w14:paraId="02672812"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2670D68E"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CALYPSO試験</w:t>
            </w:r>
            <w:r w:rsidRPr="00FD5E77">
              <w:rPr>
                <w:rFonts w:cs="Times New Roman"/>
                <w:kern w:val="0"/>
                <w:sz w:val="18"/>
                <w:szCs w:val="18"/>
                <w:highlight w:val="yellow"/>
                <w:vertAlign w:val="superscript"/>
              </w:rPr>
              <w:t>4）</w:t>
            </w:r>
          </w:p>
        </w:tc>
        <w:tc>
          <w:tcPr>
            <w:tcW w:w="4047" w:type="dxa"/>
            <w:tcBorders>
              <w:top w:val="nil"/>
              <w:left w:val="single" w:sz="8" w:space="0" w:color="auto"/>
              <w:bottom w:val="nil"/>
              <w:right w:val="single" w:sz="8" w:space="0" w:color="auto"/>
            </w:tcBorders>
            <w:shd w:val="clear" w:color="auto" w:fill="auto"/>
            <w:vAlign w:val="center"/>
            <w:hideMark/>
          </w:tcPr>
          <w:p w14:paraId="51E3C5A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5</w:t>
            </w:r>
          </w:p>
        </w:tc>
        <w:tc>
          <w:tcPr>
            <w:tcW w:w="2953" w:type="dxa"/>
            <w:tcBorders>
              <w:top w:val="nil"/>
              <w:left w:val="nil"/>
              <w:bottom w:val="nil"/>
              <w:right w:val="single" w:sz="8" w:space="0" w:color="auto"/>
            </w:tcBorders>
            <w:shd w:val="clear" w:color="auto" w:fill="auto"/>
            <w:vAlign w:val="center"/>
            <w:hideMark/>
          </w:tcPr>
          <w:p w14:paraId="2A2256C2"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primary endpoint：PFS</w:t>
            </w:r>
          </w:p>
        </w:tc>
      </w:tr>
      <w:tr w:rsidR="00FD5E77" w:rsidRPr="00FD5E77" w14:paraId="5FCDAD0D"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4A78FAFA"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（976例）</w:t>
            </w:r>
          </w:p>
        </w:tc>
        <w:tc>
          <w:tcPr>
            <w:tcW w:w="4047" w:type="dxa"/>
            <w:tcBorders>
              <w:top w:val="nil"/>
              <w:left w:val="single" w:sz="8" w:space="0" w:color="auto"/>
              <w:bottom w:val="single" w:sz="4" w:space="0" w:color="auto"/>
              <w:right w:val="single" w:sz="8" w:space="0" w:color="auto"/>
            </w:tcBorders>
            <w:shd w:val="clear" w:color="auto" w:fill="auto"/>
            <w:vAlign w:val="center"/>
            <w:hideMark/>
          </w:tcPr>
          <w:p w14:paraId="1E412AC2"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＋リポソーム化ドキソルビシン30 mg/m</w:t>
            </w:r>
            <w:r w:rsidRPr="00FD5E77">
              <w:rPr>
                <w:rFonts w:cs="Times New Roman"/>
                <w:kern w:val="0"/>
                <w:sz w:val="18"/>
                <w:szCs w:val="18"/>
                <w:highlight w:val="yellow"/>
                <w:vertAlign w:val="superscript"/>
              </w:rPr>
              <w:t>2</w:t>
            </w:r>
          </w:p>
        </w:tc>
        <w:tc>
          <w:tcPr>
            <w:tcW w:w="2953" w:type="dxa"/>
            <w:tcBorders>
              <w:top w:val="nil"/>
              <w:left w:val="nil"/>
              <w:bottom w:val="nil"/>
              <w:right w:val="single" w:sz="8" w:space="0" w:color="auto"/>
            </w:tcBorders>
            <w:shd w:val="clear" w:color="auto" w:fill="auto"/>
            <w:vAlign w:val="center"/>
            <w:hideMark/>
          </w:tcPr>
          <w:p w14:paraId="4512081A" w14:textId="77777777" w:rsidR="001D0929" w:rsidRPr="00FD5E77" w:rsidRDefault="001D0929" w:rsidP="006D750D">
            <w:pPr>
              <w:widowControl/>
              <w:snapToGrid w:val="0"/>
              <w:jc w:val="left"/>
              <w:rPr>
                <w:rFonts w:cs="Times New Roman"/>
                <w:kern w:val="0"/>
                <w:sz w:val="18"/>
                <w:szCs w:val="18"/>
              </w:rPr>
            </w:pPr>
            <w:r w:rsidRPr="00FD5E77">
              <w:rPr>
                <w:rFonts w:cs="Times New Roman"/>
                <w:kern w:val="0"/>
                <w:sz w:val="18"/>
                <w:szCs w:val="18"/>
              </w:rPr>
              <w:t>PFS 11.3カ月 vs. 9.4カ月</w:t>
            </w:r>
          </w:p>
        </w:tc>
      </w:tr>
      <w:tr w:rsidR="00FD5E77" w:rsidRPr="00FD5E77" w14:paraId="798EC772"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7074C33B"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（非劣性試験）</w:t>
            </w:r>
          </w:p>
        </w:tc>
        <w:tc>
          <w:tcPr>
            <w:tcW w:w="4047" w:type="dxa"/>
            <w:tcBorders>
              <w:top w:val="nil"/>
              <w:left w:val="single" w:sz="8" w:space="0" w:color="auto"/>
              <w:bottom w:val="nil"/>
              <w:right w:val="single" w:sz="8" w:space="0" w:color="auto"/>
            </w:tcBorders>
            <w:shd w:val="clear" w:color="auto" w:fill="auto"/>
            <w:vAlign w:val="center"/>
            <w:hideMark/>
          </w:tcPr>
          <w:p w14:paraId="4A72A3C5"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5</w:t>
            </w:r>
          </w:p>
        </w:tc>
        <w:tc>
          <w:tcPr>
            <w:tcW w:w="2953" w:type="dxa"/>
            <w:tcBorders>
              <w:top w:val="nil"/>
              <w:left w:val="nil"/>
              <w:bottom w:val="nil"/>
              <w:right w:val="single" w:sz="8" w:space="0" w:color="auto"/>
            </w:tcBorders>
            <w:shd w:val="clear" w:color="auto" w:fill="auto"/>
            <w:vAlign w:val="center"/>
            <w:hideMark/>
          </w:tcPr>
          <w:p w14:paraId="2B01A7CA" w14:textId="77777777" w:rsidR="001D0929" w:rsidRPr="00FD5E77" w:rsidRDefault="001D0929" w:rsidP="006D750D">
            <w:pPr>
              <w:widowControl/>
              <w:snapToGrid w:val="0"/>
              <w:jc w:val="left"/>
              <w:rPr>
                <w:rFonts w:cs="Times New Roman"/>
                <w:kern w:val="0"/>
                <w:sz w:val="18"/>
                <w:szCs w:val="18"/>
              </w:rPr>
            </w:pPr>
            <w:r w:rsidRPr="00FD5E77">
              <w:rPr>
                <w:rFonts w:cs="Times New Roman"/>
                <w:kern w:val="0"/>
                <w:sz w:val="18"/>
                <w:szCs w:val="18"/>
              </w:rPr>
              <w:t>PLD-CがTCと同等</w:t>
            </w:r>
          </w:p>
        </w:tc>
      </w:tr>
      <w:tr w:rsidR="00FD5E77" w:rsidRPr="00FD5E77" w14:paraId="05EE7F58" w14:textId="77777777" w:rsidTr="006D750D">
        <w:trPr>
          <w:trHeight w:val="360"/>
        </w:trPr>
        <w:tc>
          <w:tcPr>
            <w:tcW w:w="1780" w:type="dxa"/>
            <w:tcBorders>
              <w:top w:val="nil"/>
              <w:left w:val="single" w:sz="8" w:space="0" w:color="auto"/>
              <w:bottom w:val="single" w:sz="8" w:space="0" w:color="auto"/>
              <w:right w:val="nil"/>
            </w:tcBorders>
            <w:shd w:val="clear" w:color="auto" w:fill="auto"/>
            <w:hideMark/>
          </w:tcPr>
          <w:p w14:paraId="75866329" w14:textId="77777777" w:rsidR="001D0929" w:rsidRPr="00FD5E77" w:rsidRDefault="001D0929" w:rsidP="006D750D">
            <w:pPr>
              <w:widowControl/>
              <w:snapToGrid w:val="0"/>
              <w:jc w:val="left"/>
              <w:rPr>
                <w:rFonts w:cs="Times New Roman"/>
                <w:kern w:val="0"/>
                <w:sz w:val="18"/>
                <w:szCs w:val="18"/>
              </w:rPr>
            </w:pPr>
          </w:p>
        </w:tc>
        <w:tc>
          <w:tcPr>
            <w:tcW w:w="4047" w:type="dxa"/>
            <w:tcBorders>
              <w:top w:val="nil"/>
              <w:left w:val="single" w:sz="8" w:space="0" w:color="auto"/>
              <w:bottom w:val="single" w:sz="8" w:space="0" w:color="auto"/>
              <w:right w:val="single" w:sz="8" w:space="0" w:color="auto"/>
            </w:tcBorders>
            <w:shd w:val="clear" w:color="auto" w:fill="auto"/>
            <w:vAlign w:val="center"/>
            <w:hideMark/>
          </w:tcPr>
          <w:p w14:paraId="3F971AC0"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＋パクリタキセル175 mg/m</w:t>
            </w:r>
            <w:r w:rsidRPr="00FD5E77">
              <w:rPr>
                <w:rFonts w:cs="Times New Roman"/>
                <w:kern w:val="0"/>
                <w:sz w:val="18"/>
                <w:szCs w:val="18"/>
                <w:highlight w:val="yellow"/>
                <w:vertAlign w:val="superscript"/>
              </w:rPr>
              <w:t>2</w:t>
            </w:r>
          </w:p>
        </w:tc>
        <w:tc>
          <w:tcPr>
            <w:tcW w:w="2953" w:type="dxa"/>
            <w:tcBorders>
              <w:top w:val="nil"/>
              <w:left w:val="nil"/>
              <w:bottom w:val="single" w:sz="8" w:space="0" w:color="auto"/>
              <w:right w:val="single" w:sz="8" w:space="0" w:color="auto"/>
            </w:tcBorders>
            <w:shd w:val="clear" w:color="auto" w:fill="auto"/>
            <w:hideMark/>
          </w:tcPr>
          <w:p w14:paraId="22E9FF29" w14:textId="77777777" w:rsidR="001D0929" w:rsidRPr="00FD5E77" w:rsidRDefault="001D0929" w:rsidP="006D750D">
            <w:pPr>
              <w:widowControl/>
              <w:snapToGrid w:val="0"/>
              <w:jc w:val="left"/>
              <w:rPr>
                <w:rFonts w:cs="Times New Roman"/>
                <w:kern w:val="0"/>
                <w:sz w:val="18"/>
                <w:szCs w:val="18"/>
              </w:rPr>
            </w:pPr>
          </w:p>
        </w:tc>
      </w:tr>
      <w:tr w:rsidR="00FD5E77" w:rsidRPr="00FD5E77" w14:paraId="4E56D6D0"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29981655"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OCEANS 試験</w:t>
            </w:r>
            <w:r w:rsidRPr="00FD5E77">
              <w:rPr>
                <w:rFonts w:cs="Times New Roman"/>
                <w:kern w:val="0"/>
                <w:sz w:val="18"/>
                <w:szCs w:val="18"/>
                <w:highlight w:val="yellow"/>
                <w:vertAlign w:val="superscript"/>
              </w:rPr>
              <w:t>6）</w:t>
            </w:r>
          </w:p>
        </w:tc>
        <w:tc>
          <w:tcPr>
            <w:tcW w:w="4047" w:type="dxa"/>
            <w:tcBorders>
              <w:top w:val="nil"/>
              <w:left w:val="single" w:sz="8" w:space="0" w:color="auto"/>
              <w:bottom w:val="nil"/>
              <w:right w:val="single" w:sz="8" w:space="0" w:color="auto"/>
            </w:tcBorders>
            <w:shd w:val="clear" w:color="auto" w:fill="auto"/>
            <w:vAlign w:val="center"/>
            <w:hideMark/>
          </w:tcPr>
          <w:p w14:paraId="4A9D79AB"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4 day 1</w:t>
            </w:r>
          </w:p>
        </w:tc>
        <w:tc>
          <w:tcPr>
            <w:tcW w:w="2953" w:type="dxa"/>
            <w:tcBorders>
              <w:top w:val="nil"/>
              <w:left w:val="nil"/>
              <w:bottom w:val="nil"/>
              <w:right w:val="single" w:sz="8" w:space="0" w:color="auto"/>
            </w:tcBorders>
            <w:shd w:val="clear" w:color="auto" w:fill="auto"/>
            <w:vAlign w:val="center"/>
            <w:hideMark/>
          </w:tcPr>
          <w:p w14:paraId="16517735"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primary endpoint：PFS</w:t>
            </w:r>
          </w:p>
        </w:tc>
      </w:tr>
      <w:tr w:rsidR="00FD5E77" w:rsidRPr="00FD5E77" w14:paraId="5166D632"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747BC9FE"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（543例）</w:t>
            </w:r>
          </w:p>
        </w:tc>
        <w:tc>
          <w:tcPr>
            <w:tcW w:w="4047" w:type="dxa"/>
            <w:tcBorders>
              <w:top w:val="nil"/>
              <w:left w:val="single" w:sz="8" w:space="0" w:color="auto"/>
              <w:bottom w:val="single" w:sz="4" w:space="0" w:color="auto"/>
              <w:right w:val="single" w:sz="8" w:space="0" w:color="auto"/>
            </w:tcBorders>
            <w:shd w:val="clear" w:color="auto" w:fill="auto"/>
            <w:vAlign w:val="center"/>
            <w:hideMark/>
          </w:tcPr>
          <w:p w14:paraId="4C010CB5"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＋ゲムシタビン1,000 mg/m</w:t>
            </w:r>
            <w:r w:rsidRPr="00FD5E77">
              <w:rPr>
                <w:rFonts w:cs="Times New Roman"/>
                <w:kern w:val="0"/>
                <w:sz w:val="18"/>
                <w:szCs w:val="18"/>
                <w:highlight w:val="yellow"/>
                <w:vertAlign w:val="superscript"/>
              </w:rPr>
              <w:t>2</w:t>
            </w:r>
            <w:r w:rsidRPr="00FD5E77">
              <w:rPr>
                <w:rFonts w:cs="Times New Roman"/>
                <w:kern w:val="0"/>
                <w:sz w:val="18"/>
                <w:szCs w:val="18"/>
              </w:rPr>
              <w:t xml:space="preserve"> day 1, 8</w:t>
            </w:r>
          </w:p>
        </w:tc>
        <w:tc>
          <w:tcPr>
            <w:tcW w:w="2953" w:type="dxa"/>
            <w:tcBorders>
              <w:top w:val="nil"/>
              <w:left w:val="nil"/>
              <w:bottom w:val="nil"/>
              <w:right w:val="single" w:sz="8" w:space="0" w:color="auto"/>
            </w:tcBorders>
            <w:shd w:val="clear" w:color="auto" w:fill="auto"/>
            <w:vAlign w:val="center"/>
            <w:hideMark/>
          </w:tcPr>
          <w:p w14:paraId="5F516A4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PFS 12.4カ月 vs. 8.4カ月</w:t>
            </w:r>
          </w:p>
        </w:tc>
      </w:tr>
      <w:tr w:rsidR="00FD5E77" w:rsidRPr="00FD5E77" w14:paraId="2A13F4FA"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7134230A"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nil"/>
              <w:right w:val="single" w:sz="8" w:space="0" w:color="auto"/>
            </w:tcBorders>
            <w:shd w:val="clear" w:color="auto" w:fill="auto"/>
            <w:vAlign w:val="center"/>
            <w:hideMark/>
          </w:tcPr>
          <w:p w14:paraId="78311F88"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4 day 1</w:t>
            </w:r>
          </w:p>
        </w:tc>
        <w:tc>
          <w:tcPr>
            <w:tcW w:w="2953" w:type="dxa"/>
            <w:tcBorders>
              <w:top w:val="nil"/>
              <w:left w:val="nil"/>
              <w:bottom w:val="nil"/>
              <w:right w:val="single" w:sz="8" w:space="0" w:color="auto"/>
            </w:tcBorders>
            <w:shd w:val="clear" w:color="auto" w:fill="auto"/>
            <w:vAlign w:val="center"/>
            <w:hideMark/>
          </w:tcPr>
          <w:p w14:paraId="0F9389A3"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GC＋Bev併用群で良好</w:t>
            </w:r>
          </w:p>
        </w:tc>
      </w:tr>
      <w:tr w:rsidR="00FD5E77" w:rsidRPr="00FD5E77" w14:paraId="6AC8AA79" w14:textId="77777777" w:rsidTr="006D750D">
        <w:trPr>
          <w:trHeight w:val="360"/>
        </w:trPr>
        <w:tc>
          <w:tcPr>
            <w:tcW w:w="1780" w:type="dxa"/>
            <w:tcBorders>
              <w:top w:val="nil"/>
              <w:left w:val="single" w:sz="8" w:space="0" w:color="auto"/>
              <w:bottom w:val="nil"/>
              <w:right w:val="nil"/>
            </w:tcBorders>
            <w:shd w:val="clear" w:color="auto" w:fill="auto"/>
            <w:hideMark/>
          </w:tcPr>
          <w:p w14:paraId="5AA9EE97" w14:textId="77777777" w:rsidR="001D0929" w:rsidRPr="00FD5E77" w:rsidRDefault="001D0929" w:rsidP="006D750D">
            <w:pPr>
              <w:widowControl/>
              <w:snapToGrid w:val="0"/>
              <w:jc w:val="left"/>
              <w:rPr>
                <w:rFonts w:cs="Times New Roman"/>
                <w:kern w:val="0"/>
                <w:sz w:val="18"/>
                <w:szCs w:val="18"/>
              </w:rPr>
            </w:pPr>
            <w:r w:rsidRPr="00FD5E77">
              <w:rPr>
                <w:rFonts w:cs="Times New Roman"/>
                <w:kern w:val="0"/>
                <w:sz w:val="18"/>
                <w:szCs w:val="18"/>
              </w:rPr>
              <w:lastRenderedPageBreak/>
              <w:t xml:space="preserve">　</w:t>
            </w:r>
          </w:p>
        </w:tc>
        <w:tc>
          <w:tcPr>
            <w:tcW w:w="4047" w:type="dxa"/>
            <w:tcBorders>
              <w:top w:val="nil"/>
              <w:left w:val="single" w:sz="8" w:space="0" w:color="auto"/>
              <w:bottom w:val="nil"/>
              <w:right w:val="single" w:sz="8" w:space="0" w:color="auto"/>
            </w:tcBorders>
            <w:shd w:val="clear" w:color="auto" w:fill="auto"/>
            <w:vAlign w:val="center"/>
            <w:hideMark/>
          </w:tcPr>
          <w:p w14:paraId="4432F38B"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＋ゲムシタビン1,000 mg/m</w:t>
            </w:r>
            <w:r w:rsidRPr="00FD5E77">
              <w:rPr>
                <w:rFonts w:cs="Times New Roman"/>
                <w:kern w:val="0"/>
                <w:sz w:val="18"/>
                <w:szCs w:val="18"/>
                <w:highlight w:val="yellow"/>
                <w:vertAlign w:val="superscript"/>
              </w:rPr>
              <w:t>2</w:t>
            </w:r>
            <w:r w:rsidRPr="00FD5E77">
              <w:rPr>
                <w:rFonts w:cs="Times New Roman"/>
                <w:kern w:val="0"/>
                <w:sz w:val="18"/>
                <w:szCs w:val="18"/>
              </w:rPr>
              <w:t xml:space="preserve"> day 1, 8</w:t>
            </w:r>
          </w:p>
        </w:tc>
        <w:tc>
          <w:tcPr>
            <w:tcW w:w="2953" w:type="dxa"/>
            <w:tcBorders>
              <w:top w:val="nil"/>
              <w:left w:val="nil"/>
              <w:bottom w:val="nil"/>
              <w:right w:val="single" w:sz="8" w:space="0" w:color="auto"/>
            </w:tcBorders>
            <w:shd w:val="clear" w:color="auto" w:fill="auto"/>
            <w:vAlign w:val="center"/>
            <w:hideMark/>
          </w:tcPr>
          <w:p w14:paraId="71B5E96B"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r>
      <w:tr w:rsidR="00FD5E77" w:rsidRPr="00FD5E77" w14:paraId="537E6997" w14:textId="77777777" w:rsidTr="006D750D">
        <w:trPr>
          <w:trHeight w:val="380"/>
        </w:trPr>
        <w:tc>
          <w:tcPr>
            <w:tcW w:w="1780" w:type="dxa"/>
            <w:tcBorders>
              <w:top w:val="nil"/>
              <w:left w:val="single" w:sz="8" w:space="0" w:color="auto"/>
              <w:bottom w:val="single" w:sz="8" w:space="0" w:color="auto"/>
              <w:right w:val="nil"/>
            </w:tcBorders>
            <w:shd w:val="clear" w:color="auto" w:fill="auto"/>
            <w:hideMark/>
          </w:tcPr>
          <w:p w14:paraId="2F40E6DC" w14:textId="77777777" w:rsidR="001D0929" w:rsidRPr="00FD5E77" w:rsidRDefault="001D0929" w:rsidP="006D750D">
            <w:pPr>
              <w:widowControl/>
              <w:snapToGrid w:val="0"/>
              <w:jc w:val="left"/>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single" w:sz="8" w:space="0" w:color="auto"/>
              <w:right w:val="single" w:sz="8" w:space="0" w:color="auto"/>
            </w:tcBorders>
            <w:shd w:val="clear" w:color="auto" w:fill="auto"/>
            <w:vAlign w:val="center"/>
            <w:hideMark/>
          </w:tcPr>
          <w:p w14:paraId="67E545FC"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＋ベバシズマブ15 mg/kg day 1 ＋維持</w:t>
            </w:r>
          </w:p>
        </w:tc>
        <w:tc>
          <w:tcPr>
            <w:tcW w:w="2953" w:type="dxa"/>
            <w:tcBorders>
              <w:top w:val="nil"/>
              <w:left w:val="nil"/>
              <w:bottom w:val="single" w:sz="8" w:space="0" w:color="auto"/>
              <w:right w:val="single" w:sz="8" w:space="0" w:color="auto"/>
            </w:tcBorders>
            <w:shd w:val="clear" w:color="auto" w:fill="auto"/>
            <w:hideMark/>
          </w:tcPr>
          <w:p w14:paraId="61BABA00" w14:textId="77777777" w:rsidR="001D0929" w:rsidRPr="00FD5E77" w:rsidRDefault="001D0929" w:rsidP="006D750D">
            <w:pPr>
              <w:widowControl/>
              <w:snapToGrid w:val="0"/>
              <w:jc w:val="left"/>
              <w:rPr>
                <w:rFonts w:cs="Times New Roman"/>
                <w:kern w:val="0"/>
                <w:sz w:val="18"/>
                <w:szCs w:val="18"/>
              </w:rPr>
            </w:pPr>
            <w:r w:rsidRPr="00FD5E77">
              <w:rPr>
                <w:rFonts w:cs="Times New Roman"/>
                <w:kern w:val="0"/>
                <w:sz w:val="18"/>
                <w:szCs w:val="18"/>
              </w:rPr>
              <w:t xml:space="preserve">　</w:t>
            </w:r>
          </w:p>
        </w:tc>
      </w:tr>
      <w:tr w:rsidR="00FD5E77" w:rsidRPr="00FD5E77" w14:paraId="6F749D4D"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33A5ACA8"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GOG213試験</w:t>
            </w:r>
            <w:r w:rsidRPr="00FD5E77">
              <w:rPr>
                <w:rFonts w:cs="Times New Roman"/>
                <w:kern w:val="0"/>
                <w:sz w:val="18"/>
                <w:szCs w:val="18"/>
                <w:highlight w:val="yellow"/>
                <w:vertAlign w:val="superscript"/>
              </w:rPr>
              <w:t>7）</w:t>
            </w:r>
          </w:p>
        </w:tc>
        <w:tc>
          <w:tcPr>
            <w:tcW w:w="4047" w:type="dxa"/>
            <w:tcBorders>
              <w:top w:val="nil"/>
              <w:left w:val="single" w:sz="8" w:space="0" w:color="auto"/>
              <w:bottom w:val="nil"/>
              <w:right w:val="single" w:sz="8" w:space="0" w:color="auto"/>
            </w:tcBorders>
            <w:shd w:val="clear" w:color="auto" w:fill="auto"/>
            <w:vAlign w:val="center"/>
            <w:hideMark/>
          </w:tcPr>
          <w:p w14:paraId="75DD8AF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5</w:t>
            </w:r>
          </w:p>
        </w:tc>
        <w:tc>
          <w:tcPr>
            <w:tcW w:w="2953" w:type="dxa"/>
            <w:tcBorders>
              <w:top w:val="nil"/>
              <w:left w:val="nil"/>
              <w:bottom w:val="nil"/>
              <w:right w:val="single" w:sz="8" w:space="0" w:color="auto"/>
            </w:tcBorders>
            <w:shd w:val="clear" w:color="auto" w:fill="auto"/>
            <w:vAlign w:val="center"/>
            <w:hideMark/>
          </w:tcPr>
          <w:p w14:paraId="4F28E8B7"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primary endpoint：OS</w:t>
            </w:r>
          </w:p>
        </w:tc>
      </w:tr>
      <w:tr w:rsidR="00FD5E77" w:rsidRPr="00FD5E77" w14:paraId="3134933A"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67C39798"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（674例）</w:t>
            </w:r>
          </w:p>
        </w:tc>
        <w:tc>
          <w:tcPr>
            <w:tcW w:w="4047" w:type="dxa"/>
            <w:tcBorders>
              <w:top w:val="nil"/>
              <w:left w:val="single" w:sz="8" w:space="0" w:color="auto"/>
              <w:bottom w:val="single" w:sz="4" w:space="0" w:color="auto"/>
              <w:right w:val="single" w:sz="8" w:space="0" w:color="auto"/>
            </w:tcBorders>
            <w:shd w:val="clear" w:color="auto" w:fill="auto"/>
            <w:vAlign w:val="center"/>
            <w:hideMark/>
          </w:tcPr>
          <w:p w14:paraId="559B8F8A"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＋パクリタキセル175 mg/m</w:t>
            </w:r>
            <w:r w:rsidRPr="00FD5E77">
              <w:rPr>
                <w:rFonts w:cs="Times New Roman"/>
                <w:kern w:val="0"/>
                <w:sz w:val="18"/>
                <w:szCs w:val="18"/>
                <w:highlight w:val="yellow"/>
                <w:vertAlign w:val="superscript"/>
              </w:rPr>
              <w:t>2</w:t>
            </w:r>
          </w:p>
        </w:tc>
        <w:tc>
          <w:tcPr>
            <w:tcW w:w="2953" w:type="dxa"/>
            <w:tcBorders>
              <w:top w:val="nil"/>
              <w:left w:val="nil"/>
              <w:bottom w:val="nil"/>
              <w:right w:val="single" w:sz="8" w:space="0" w:color="auto"/>
            </w:tcBorders>
            <w:shd w:val="clear" w:color="auto" w:fill="auto"/>
            <w:vAlign w:val="center"/>
            <w:hideMark/>
          </w:tcPr>
          <w:p w14:paraId="4BDE7B7F"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OS 42.2カ月 vs. 37.3カ月</w:t>
            </w:r>
          </w:p>
        </w:tc>
      </w:tr>
      <w:tr w:rsidR="00FD5E77" w:rsidRPr="00FD5E77" w14:paraId="45AC7DDF"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4900D49D"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nil"/>
              <w:right w:val="single" w:sz="8" w:space="0" w:color="auto"/>
            </w:tcBorders>
            <w:shd w:val="clear" w:color="auto" w:fill="auto"/>
            <w:vAlign w:val="center"/>
            <w:hideMark/>
          </w:tcPr>
          <w:p w14:paraId="3FE95BE2"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5</w:t>
            </w:r>
          </w:p>
        </w:tc>
        <w:tc>
          <w:tcPr>
            <w:tcW w:w="2953" w:type="dxa"/>
            <w:tcBorders>
              <w:top w:val="nil"/>
              <w:left w:val="nil"/>
              <w:bottom w:val="nil"/>
              <w:right w:val="single" w:sz="8" w:space="0" w:color="auto"/>
            </w:tcBorders>
            <w:shd w:val="clear" w:color="auto" w:fill="auto"/>
            <w:vAlign w:val="center"/>
            <w:hideMark/>
          </w:tcPr>
          <w:p w14:paraId="7676C690"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TC＋Bev併用群で良好な傾向</w:t>
            </w:r>
          </w:p>
        </w:tc>
      </w:tr>
      <w:tr w:rsidR="00FD5E77" w:rsidRPr="00FD5E77" w14:paraId="45861FCA"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05659BB9"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nil"/>
              <w:right w:val="single" w:sz="8" w:space="0" w:color="auto"/>
            </w:tcBorders>
            <w:shd w:val="clear" w:color="auto" w:fill="auto"/>
            <w:vAlign w:val="center"/>
            <w:hideMark/>
          </w:tcPr>
          <w:p w14:paraId="2613B52A"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＋パクリタキセル175 mg/m</w:t>
            </w:r>
            <w:r w:rsidRPr="00FD5E77">
              <w:rPr>
                <w:rFonts w:cs="Times New Roman"/>
                <w:kern w:val="0"/>
                <w:sz w:val="18"/>
                <w:szCs w:val="18"/>
                <w:highlight w:val="yellow"/>
                <w:vertAlign w:val="superscript"/>
              </w:rPr>
              <w:t>2</w:t>
            </w:r>
          </w:p>
        </w:tc>
        <w:tc>
          <w:tcPr>
            <w:tcW w:w="2953" w:type="dxa"/>
            <w:tcBorders>
              <w:top w:val="nil"/>
              <w:left w:val="nil"/>
              <w:bottom w:val="nil"/>
              <w:right w:val="single" w:sz="8" w:space="0" w:color="auto"/>
            </w:tcBorders>
            <w:shd w:val="clear" w:color="auto" w:fill="auto"/>
            <w:vAlign w:val="center"/>
            <w:hideMark/>
          </w:tcPr>
          <w:p w14:paraId="5D19E57F"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PFS 13.8カ月 vs. 10.4カ月</w:t>
            </w:r>
          </w:p>
        </w:tc>
      </w:tr>
      <w:tr w:rsidR="00FD5E77" w:rsidRPr="00FD5E77" w14:paraId="0E1C3EE7" w14:textId="77777777" w:rsidTr="006D750D">
        <w:trPr>
          <w:trHeight w:val="380"/>
        </w:trPr>
        <w:tc>
          <w:tcPr>
            <w:tcW w:w="1780" w:type="dxa"/>
            <w:tcBorders>
              <w:top w:val="nil"/>
              <w:left w:val="single" w:sz="8" w:space="0" w:color="auto"/>
              <w:bottom w:val="nil"/>
              <w:right w:val="nil"/>
            </w:tcBorders>
            <w:shd w:val="clear" w:color="auto" w:fill="auto"/>
            <w:vAlign w:val="center"/>
            <w:hideMark/>
          </w:tcPr>
          <w:p w14:paraId="457E5C61"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single" w:sz="8" w:space="0" w:color="auto"/>
              <w:right w:val="single" w:sz="8" w:space="0" w:color="auto"/>
            </w:tcBorders>
            <w:shd w:val="clear" w:color="auto" w:fill="auto"/>
            <w:vAlign w:val="center"/>
            <w:hideMark/>
          </w:tcPr>
          <w:p w14:paraId="1BAAC078"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＋ベバシズマブ 15 mg/kg ＋維持</w:t>
            </w:r>
          </w:p>
        </w:tc>
        <w:tc>
          <w:tcPr>
            <w:tcW w:w="2953" w:type="dxa"/>
            <w:tcBorders>
              <w:top w:val="nil"/>
              <w:left w:val="nil"/>
              <w:bottom w:val="nil"/>
              <w:right w:val="single" w:sz="8" w:space="0" w:color="auto"/>
            </w:tcBorders>
            <w:shd w:val="clear" w:color="auto" w:fill="auto"/>
            <w:vAlign w:val="center"/>
            <w:hideMark/>
          </w:tcPr>
          <w:p w14:paraId="00A67D29"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TC＋Bev併用群で良好</w:t>
            </w:r>
          </w:p>
        </w:tc>
      </w:tr>
      <w:tr w:rsidR="00FD5E77" w:rsidRPr="00FD5E77" w14:paraId="0B91113C" w14:textId="77777777" w:rsidTr="006D750D">
        <w:trPr>
          <w:trHeight w:val="360"/>
        </w:trPr>
        <w:tc>
          <w:tcPr>
            <w:tcW w:w="1780" w:type="dxa"/>
            <w:tcBorders>
              <w:top w:val="single" w:sz="8" w:space="0" w:color="auto"/>
              <w:left w:val="single" w:sz="8" w:space="0" w:color="auto"/>
              <w:bottom w:val="nil"/>
              <w:right w:val="nil"/>
            </w:tcBorders>
            <w:shd w:val="clear" w:color="auto" w:fill="auto"/>
            <w:vAlign w:val="center"/>
            <w:hideMark/>
          </w:tcPr>
          <w:p w14:paraId="6CA5CF73"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OVAR2.21試験</w:t>
            </w:r>
            <w:r w:rsidRPr="00FD5E77">
              <w:rPr>
                <w:rFonts w:cs="Times New Roman"/>
                <w:kern w:val="0"/>
                <w:sz w:val="18"/>
                <w:szCs w:val="18"/>
                <w:highlight w:val="yellow"/>
                <w:vertAlign w:val="superscript"/>
              </w:rPr>
              <w:t>8）</w:t>
            </w:r>
          </w:p>
        </w:tc>
        <w:tc>
          <w:tcPr>
            <w:tcW w:w="4047" w:type="dxa"/>
            <w:tcBorders>
              <w:top w:val="nil"/>
              <w:left w:val="single" w:sz="8" w:space="0" w:color="auto"/>
              <w:bottom w:val="nil"/>
              <w:right w:val="single" w:sz="8" w:space="0" w:color="auto"/>
            </w:tcBorders>
            <w:shd w:val="clear" w:color="auto" w:fill="auto"/>
            <w:vAlign w:val="center"/>
            <w:hideMark/>
          </w:tcPr>
          <w:p w14:paraId="30146893"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4 day 1</w:t>
            </w:r>
          </w:p>
        </w:tc>
        <w:tc>
          <w:tcPr>
            <w:tcW w:w="2953" w:type="dxa"/>
            <w:tcBorders>
              <w:top w:val="single" w:sz="8" w:space="0" w:color="auto"/>
              <w:left w:val="nil"/>
              <w:bottom w:val="nil"/>
              <w:right w:val="single" w:sz="8" w:space="0" w:color="auto"/>
            </w:tcBorders>
            <w:shd w:val="clear" w:color="auto" w:fill="auto"/>
            <w:vAlign w:val="center"/>
            <w:hideMark/>
          </w:tcPr>
          <w:p w14:paraId="19FC9FF4"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primary endpoint：PFS</w:t>
            </w:r>
          </w:p>
        </w:tc>
      </w:tr>
      <w:tr w:rsidR="00FD5E77" w:rsidRPr="00FD5E77" w14:paraId="254C6F07"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574EEA1C"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（682例）</w:t>
            </w:r>
          </w:p>
        </w:tc>
        <w:tc>
          <w:tcPr>
            <w:tcW w:w="4047" w:type="dxa"/>
            <w:tcBorders>
              <w:top w:val="nil"/>
              <w:left w:val="single" w:sz="8" w:space="0" w:color="auto"/>
              <w:bottom w:val="nil"/>
              <w:right w:val="single" w:sz="8" w:space="0" w:color="auto"/>
            </w:tcBorders>
            <w:shd w:val="clear" w:color="auto" w:fill="auto"/>
            <w:vAlign w:val="center"/>
            <w:hideMark/>
          </w:tcPr>
          <w:p w14:paraId="097820AC"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＋ゲムシタビン1,000 mg/m</w:t>
            </w:r>
            <w:r w:rsidRPr="00FD5E77">
              <w:rPr>
                <w:rFonts w:cs="Times New Roman"/>
                <w:kern w:val="0"/>
                <w:sz w:val="18"/>
                <w:szCs w:val="18"/>
                <w:highlight w:val="yellow"/>
                <w:vertAlign w:val="superscript"/>
              </w:rPr>
              <w:t>2</w:t>
            </w:r>
            <w:r w:rsidRPr="00FD5E77">
              <w:rPr>
                <w:rFonts w:cs="Times New Roman"/>
                <w:kern w:val="0"/>
                <w:sz w:val="18"/>
                <w:szCs w:val="18"/>
              </w:rPr>
              <w:t xml:space="preserve"> day 1, 8</w:t>
            </w:r>
          </w:p>
        </w:tc>
        <w:tc>
          <w:tcPr>
            <w:tcW w:w="2953" w:type="dxa"/>
            <w:tcBorders>
              <w:top w:val="nil"/>
              <w:left w:val="nil"/>
              <w:bottom w:val="nil"/>
              <w:right w:val="single" w:sz="8" w:space="0" w:color="auto"/>
            </w:tcBorders>
            <w:shd w:val="clear" w:color="auto" w:fill="auto"/>
            <w:vAlign w:val="center"/>
            <w:hideMark/>
          </w:tcPr>
          <w:p w14:paraId="608A1A8F"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PFS 13.3カ月 vs. 11.6カ月</w:t>
            </w:r>
          </w:p>
          <w:p w14:paraId="2D29C302"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secondary endpoint：OS</w:t>
            </w:r>
          </w:p>
          <w:p w14:paraId="362ADC2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OS 31.9 カ月 vs. 27.8 カ月</w:t>
            </w:r>
          </w:p>
        </w:tc>
      </w:tr>
      <w:tr w:rsidR="00FD5E77" w:rsidRPr="00FD5E77" w14:paraId="1CC4AE5A"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004C357D"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single" w:sz="4" w:space="0" w:color="auto"/>
              <w:right w:val="single" w:sz="8" w:space="0" w:color="auto"/>
            </w:tcBorders>
            <w:shd w:val="clear" w:color="auto" w:fill="auto"/>
            <w:vAlign w:val="center"/>
            <w:hideMark/>
          </w:tcPr>
          <w:p w14:paraId="06ACBD01"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＋ベバシズマブ 15 mg/kg day 1 ＋維持</w:t>
            </w:r>
          </w:p>
        </w:tc>
        <w:tc>
          <w:tcPr>
            <w:tcW w:w="2953" w:type="dxa"/>
            <w:tcBorders>
              <w:top w:val="nil"/>
              <w:left w:val="nil"/>
              <w:bottom w:val="nil"/>
              <w:right w:val="single" w:sz="8" w:space="0" w:color="auto"/>
            </w:tcBorders>
            <w:shd w:val="clear" w:color="auto" w:fill="auto"/>
            <w:vAlign w:val="center"/>
            <w:hideMark/>
          </w:tcPr>
          <w:p w14:paraId="2BDB7282"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PLD-C＋Bev併用群で良好</w:t>
            </w:r>
          </w:p>
        </w:tc>
      </w:tr>
      <w:tr w:rsidR="00FD5E77" w:rsidRPr="00FD5E77" w14:paraId="71EF667A"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406161B7"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nil"/>
              <w:right w:val="single" w:sz="8" w:space="0" w:color="auto"/>
            </w:tcBorders>
            <w:shd w:val="clear" w:color="auto" w:fill="auto"/>
            <w:vAlign w:val="center"/>
            <w:hideMark/>
          </w:tcPr>
          <w:p w14:paraId="72EE6F59"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カルボプラチンAUC 5 day 1</w:t>
            </w:r>
          </w:p>
        </w:tc>
        <w:tc>
          <w:tcPr>
            <w:tcW w:w="2953" w:type="dxa"/>
            <w:tcBorders>
              <w:top w:val="nil"/>
              <w:left w:val="nil"/>
              <w:bottom w:val="nil"/>
              <w:right w:val="single" w:sz="8" w:space="0" w:color="auto"/>
            </w:tcBorders>
            <w:shd w:val="clear" w:color="auto" w:fill="auto"/>
            <w:hideMark/>
          </w:tcPr>
          <w:p w14:paraId="4032A4F7" w14:textId="77777777" w:rsidR="001D0929" w:rsidRPr="00FD5E77" w:rsidRDefault="001D0929" w:rsidP="006D750D">
            <w:pPr>
              <w:widowControl/>
              <w:snapToGrid w:val="0"/>
              <w:jc w:val="left"/>
              <w:rPr>
                <w:rFonts w:cs="Times New Roman"/>
                <w:kern w:val="0"/>
                <w:sz w:val="18"/>
                <w:szCs w:val="18"/>
              </w:rPr>
            </w:pPr>
          </w:p>
        </w:tc>
      </w:tr>
      <w:tr w:rsidR="00FD5E77" w:rsidRPr="00FD5E77" w14:paraId="2E521611"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083B52DB"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nil"/>
              <w:right w:val="single" w:sz="8" w:space="0" w:color="auto"/>
            </w:tcBorders>
            <w:shd w:val="clear" w:color="auto" w:fill="auto"/>
            <w:vAlign w:val="center"/>
            <w:hideMark/>
          </w:tcPr>
          <w:p w14:paraId="66E64AD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＋リポソーム化ドキソルビシン30mg/m</w:t>
            </w:r>
            <w:r w:rsidRPr="00FD5E77">
              <w:rPr>
                <w:rFonts w:cs="Times New Roman"/>
                <w:kern w:val="0"/>
                <w:sz w:val="18"/>
                <w:szCs w:val="18"/>
                <w:highlight w:val="yellow"/>
                <w:vertAlign w:val="superscript"/>
              </w:rPr>
              <w:t>2</w:t>
            </w:r>
            <w:r w:rsidRPr="00FD5E77">
              <w:rPr>
                <w:rFonts w:cs="Times New Roman"/>
                <w:kern w:val="0"/>
                <w:sz w:val="18"/>
                <w:szCs w:val="18"/>
              </w:rPr>
              <w:t xml:space="preserve"> day 1</w:t>
            </w:r>
          </w:p>
        </w:tc>
        <w:tc>
          <w:tcPr>
            <w:tcW w:w="2953" w:type="dxa"/>
            <w:tcBorders>
              <w:top w:val="nil"/>
              <w:left w:val="nil"/>
              <w:bottom w:val="nil"/>
              <w:right w:val="single" w:sz="8" w:space="0" w:color="auto"/>
            </w:tcBorders>
            <w:shd w:val="clear" w:color="auto" w:fill="auto"/>
            <w:hideMark/>
          </w:tcPr>
          <w:p w14:paraId="2BD1E52F" w14:textId="77777777" w:rsidR="001D0929" w:rsidRPr="00FD5E77" w:rsidRDefault="001D0929" w:rsidP="006D750D">
            <w:pPr>
              <w:widowControl/>
              <w:snapToGrid w:val="0"/>
              <w:jc w:val="left"/>
              <w:rPr>
                <w:rFonts w:cs="Times New Roman"/>
                <w:kern w:val="0"/>
                <w:sz w:val="18"/>
                <w:szCs w:val="18"/>
              </w:rPr>
            </w:pPr>
          </w:p>
        </w:tc>
      </w:tr>
      <w:tr w:rsidR="00FD5E77" w:rsidRPr="00FD5E77" w14:paraId="27AB077A" w14:textId="77777777" w:rsidTr="006D750D">
        <w:trPr>
          <w:trHeight w:val="360"/>
        </w:trPr>
        <w:tc>
          <w:tcPr>
            <w:tcW w:w="1780" w:type="dxa"/>
            <w:tcBorders>
              <w:top w:val="nil"/>
              <w:left w:val="single" w:sz="8" w:space="0" w:color="auto"/>
              <w:bottom w:val="single" w:sz="8" w:space="0" w:color="auto"/>
              <w:right w:val="nil"/>
            </w:tcBorders>
            <w:shd w:val="clear" w:color="auto" w:fill="auto"/>
            <w:vAlign w:val="center"/>
            <w:hideMark/>
          </w:tcPr>
          <w:p w14:paraId="1E25436C"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single" w:sz="8" w:space="0" w:color="auto"/>
              <w:right w:val="single" w:sz="8" w:space="0" w:color="auto"/>
            </w:tcBorders>
            <w:shd w:val="clear" w:color="auto" w:fill="auto"/>
            <w:vAlign w:val="center"/>
            <w:hideMark/>
          </w:tcPr>
          <w:p w14:paraId="16985762"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＋ベバシズマブ 10 mg/kg day 1, 15 ＋維持</w:t>
            </w:r>
          </w:p>
        </w:tc>
        <w:tc>
          <w:tcPr>
            <w:tcW w:w="2953" w:type="dxa"/>
            <w:tcBorders>
              <w:top w:val="nil"/>
              <w:left w:val="nil"/>
              <w:bottom w:val="single" w:sz="8" w:space="0" w:color="auto"/>
              <w:right w:val="single" w:sz="8" w:space="0" w:color="auto"/>
            </w:tcBorders>
            <w:shd w:val="clear" w:color="auto" w:fill="auto"/>
            <w:hideMark/>
          </w:tcPr>
          <w:p w14:paraId="6D5D1993" w14:textId="77777777" w:rsidR="001D0929" w:rsidRPr="00FD5E77" w:rsidRDefault="001D0929" w:rsidP="006D750D">
            <w:pPr>
              <w:widowControl/>
              <w:snapToGrid w:val="0"/>
              <w:jc w:val="left"/>
              <w:rPr>
                <w:rFonts w:cs="Times New Roman"/>
                <w:kern w:val="0"/>
                <w:sz w:val="18"/>
                <w:szCs w:val="18"/>
              </w:rPr>
            </w:pPr>
          </w:p>
        </w:tc>
      </w:tr>
      <w:tr w:rsidR="00FD5E77" w:rsidRPr="00FD5E77" w14:paraId="7A881862"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674A9C8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SOLO2試験</w:t>
            </w:r>
            <w:r w:rsidRPr="00FD5E77">
              <w:rPr>
                <w:rFonts w:cs="Times New Roman"/>
                <w:kern w:val="0"/>
                <w:sz w:val="18"/>
                <w:szCs w:val="18"/>
                <w:highlight w:val="yellow"/>
                <w:vertAlign w:val="superscript"/>
              </w:rPr>
              <w:t>9）</w:t>
            </w:r>
          </w:p>
        </w:tc>
        <w:tc>
          <w:tcPr>
            <w:tcW w:w="4047" w:type="dxa"/>
            <w:tcBorders>
              <w:top w:val="nil"/>
              <w:left w:val="single" w:sz="8" w:space="0" w:color="auto"/>
              <w:bottom w:val="nil"/>
              <w:right w:val="single" w:sz="8" w:space="0" w:color="auto"/>
            </w:tcBorders>
            <w:shd w:val="clear" w:color="auto" w:fill="auto"/>
            <w:vAlign w:val="center"/>
            <w:hideMark/>
          </w:tcPr>
          <w:p w14:paraId="3463AC47"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プラセボ錠 1日2回(99例）</w:t>
            </w:r>
          </w:p>
        </w:tc>
        <w:tc>
          <w:tcPr>
            <w:tcW w:w="2953" w:type="dxa"/>
            <w:tcBorders>
              <w:top w:val="nil"/>
              <w:left w:val="nil"/>
              <w:bottom w:val="nil"/>
              <w:right w:val="single" w:sz="8" w:space="0" w:color="auto"/>
            </w:tcBorders>
            <w:shd w:val="clear" w:color="auto" w:fill="auto"/>
            <w:vAlign w:val="center"/>
            <w:hideMark/>
          </w:tcPr>
          <w:p w14:paraId="6ED4F35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primary endpoint：PFS</w:t>
            </w:r>
          </w:p>
        </w:tc>
      </w:tr>
      <w:tr w:rsidR="00FD5E77" w:rsidRPr="00FD5E77" w14:paraId="61471E22"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521C6867"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（294例）</w:t>
            </w:r>
          </w:p>
        </w:tc>
        <w:tc>
          <w:tcPr>
            <w:tcW w:w="4047" w:type="dxa"/>
            <w:tcBorders>
              <w:top w:val="nil"/>
              <w:left w:val="single" w:sz="8" w:space="0" w:color="auto"/>
              <w:bottom w:val="single" w:sz="4" w:space="0" w:color="auto"/>
              <w:right w:val="single" w:sz="8" w:space="0" w:color="auto"/>
            </w:tcBorders>
            <w:shd w:val="clear" w:color="auto" w:fill="auto"/>
            <w:vAlign w:val="center"/>
            <w:hideMark/>
          </w:tcPr>
          <w:p w14:paraId="26DE1A8D" w14:textId="77777777" w:rsidR="001D0929" w:rsidRPr="00FD5E77" w:rsidRDefault="001D0929" w:rsidP="006D750D">
            <w:pPr>
              <w:widowControl/>
              <w:snapToGrid w:val="0"/>
              <w:rPr>
                <w:rFonts w:cs="Times New Roman"/>
                <w:kern w:val="0"/>
                <w:sz w:val="18"/>
                <w:szCs w:val="18"/>
              </w:rPr>
            </w:pPr>
          </w:p>
        </w:tc>
        <w:tc>
          <w:tcPr>
            <w:tcW w:w="2953" w:type="dxa"/>
            <w:tcBorders>
              <w:top w:val="nil"/>
              <w:left w:val="nil"/>
              <w:bottom w:val="nil"/>
              <w:right w:val="single" w:sz="8" w:space="0" w:color="auto"/>
            </w:tcBorders>
            <w:shd w:val="clear" w:color="auto" w:fill="auto"/>
            <w:vAlign w:val="center"/>
            <w:hideMark/>
          </w:tcPr>
          <w:p w14:paraId="31AD529D"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PFS 19.1カ月 vs. 5.5カ月</w:t>
            </w:r>
          </w:p>
        </w:tc>
      </w:tr>
      <w:tr w:rsidR="00FD5E77" w:rsidRPr="00FD5E77" w14:paraId="12DF793C"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005BFB09" w14:textId="77777777" w:rsidR="001D0929" w:rsidRPr="00FD5E77" w:rsidRDefault="001D0929" w:rsidP="006D750D">
            <w:pPr>
              <w:widowControl/>
              <w:snapToGrid w:val="0"/>
              <w:rPr>
                <w:rFonts w:cs="Times New Roman"/>
                <w:kern w:val="0"/>
                <w:sz w:val="18"/>
                <w:szCs w:val="18"/>
              </w:rPr>
            </w:pPr>
            <w:r w:rsidRPr="00FD5E77">
              <w:rPr>
                <w:rFonts w:cs="Times New Roman"/>
                <w:iCs/>
                <w:kern w:val="0"/>
                <w:sz w:val="18"/>
                <w:szCs w:val="18"/>
              </w:rPr>
              <w:t>BRCA1/2 変異保持者</w:t>
            </w:r>
          </w:p>
        </w:tc>
        <w:tc>
          <w:tcPr>
            <w:tcW w:w="4047" w:type="dxa"/>
            <w:tcBorders>
              <w:top w:val="nil"/>
              <w:left w:val="single" w:sz="8" w:space="0" w:color="auto"/>
              <w:bottom w:val="nil"/>
              <w:right w:val="single" w:sz="8" w:space="0" w:color="auto"/>
            </w:tcBorders>
            <w:shd w:val="clear" w:color="auto" w:fill="auto"/>
            <w:vAlign w:val="center"/>
            <w:hideMark/>
          </w:tcPr>
          <w:p w14:paraId="63BA455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オラパリブ錠 300mg 1日2回(196例）</w:t>
            </w:r>
          </w:p>
        </w:tc>
        <w:tc>
          <w:tcPr>
            <w:tcW w:w="2953" w:type="dxa"/>
            <w:tcBorders>
              <w:top w:val="nil"/>
              <w:left w:val="nil"/>
              <w:bottom w:val="nil"/>
              <w:right w:val="single" w:sz="8" w:space="0" w:color="auto"/>
            </w:tcBorders>
            <w:shd w:val="clear" w:color="auto" w:fill="auto"/>
            <w:vAlign w:val="center"/>
            <w:hideMark/>
          </w:tcPr>
          <w:p w14:paraId="7C02CF81"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オラパリブ群で良好</w:t>
            </w:r>
          </w:p>
        </w:tc>
      </w:tr>
      <w:tr w:rsidR="00FD5E77" w:rsidRPr="00FD5E77" w14:paraId="7E16F8B7"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223A9F88" w14:textId="77777777" w:rsidR="001D0929" w:rsidRPr="00FD5E77" w:rsidRDefault="001D0929" w:rsidP="006D750D">
            <w:pPr>
              <w:widowControl/>
              <w:snapToGrid w:val="0"/>
              <w:rPr>
                <w:rFonts w:cs="Times New Roman"/>
                <w:kern w:val="0"/>
                <w:sz w:val="18"/>
                <w:szCs w:val="18"/>
              </w:rPr>
            </w:pPr>
          </w:p>
        </w:tc>
        <w:tc>
          <w:tcPr>
            <w:tcW w:w="4047" w:type="dxa"/>
            <w:tcBorders>
              <w:top w:val="nil"/>
              <w:left w:val="single" w:sz="8" w:space="0" w:color="auto"/>
              <w:bottom w:val="nil"/>
              <w:right w:val="single" w:sz="8" w:space="0" w:color="auto"/>
            </w:tcBorders>
            <w:shd w:val="clear" w:color="auto" w:fill="auto"/>
            <w:vAlign w:val="center"/>
            <w:hideMark/>
          </w:tcPr>
          <w:p w14:paraId="3E06E8BE"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2953" w:type="dxa"/>
            <w:tcBorders>
              <w:top w:val="nil"/>
              <w:left w:val="nil"/>
              <w:bottom w:val="nil"/>
              <w:right w:val="single" w:sz="8" w:space="0" w:color="auto"/>
            </w:tcBorders>
            <w:shd w:val="clear" w:color="auto" w:fill="auto"/>
            <w:hideMark/>
          </w:tcPr>
          <w:p w14:paraId="2A1B8DAD" w14:textId="77777777" w:rsidR="001D0929" w:rsidRPr="00FD5E77" w:rsidRDefault="001D0929" w:rsidP="006D750D">
            <w:pPr>
              <w:widowControl/>
              <w:snapToGrid w:val="0"/>
              <w:jc w:val="left"/>
              <w:rPr>
                <w:rFonts w:cs="Times New Roman"/>
                <w:kern w:val="0"/>
                <w:sz w:val="18"/>
                <w:szCs w:val="18"/>
              </w:rPr>
            </w:pPr>
          </w:p>
        </w:tc>
      </w:tr>
      <w:tr w:rsidR="00FD5E77" w:rsidRPr="00FD5E77" w14:paraId="25D309F6" w14:textId="77777777" w:rsidTr="006D750D">
        <w:trPr>
          <w:trHeight w:val="360"/>
        </w:trPr>
        <w:tc>
          <w:tcPr>
            <w:tcW w:w="1780" w:type="dxa"/>
            <w:tcBorders>
              <w:top w:val="single" w:sz="8" w:space="0" w:color="auto"/>
              <w:left w:val="single" w:sz="8" w:space="0" w:color="auto"/>
              <w:bottom w:val="nil"/>
              <w:right w:val="nil"/>
            </w:tcBorders>
            <w:shd w:val="clear" w:color="auto" w:fill="auto"/>
            <w:vAlign w:val="center"/>
            <w:hideMark/>
          </w:tcPr>
          <w:p w14:paraId="525080A3"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Study19試験</w:t>
            </w:r>
            <w:r w:rsidRPr="00FD5E77">
              <w:rPr>
                <w:rFonts w:cs="Times New Roman"/>
                <w:kern w:val="0"/>
                <w:sz w:val="18"/>
                <w:szCs w:val="18"/>
                <w:highlight w:val="yellow"/>
                <w:vertAlign w:val="superscript"/>
              </w:rPr>
              <w:t>10）</w:t>
            </w:r>
          </w:p>
        </w:tc>
        <w:tc>
          <w:tcPr>
            <w:tcW w:w="4047" w:type="dxa"/>
            <w:tcBorders>
              <w:top w:val="single" w:sz="8" w:space="0" w:color="auto"/>
              <w:left w:val="single" w:sz="8" w:space="0" w:color="auto"/>
              <w:bottom w:val="nil"/>
              <w:right w:val="single" w:sz="8" w:space="0" w:color="auto"/>
            </w:tcBorders>
            <w:shd w:val="clear" w:color="auto" w:fill="auto"/>
            <w:vAlign w:val="center"/>
            <w:hideMark/>
          </w:tcPr>
          <w:p w14:paraId="7563C64D"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プラセボカプセル 1日2回(129例）</w:t>
            </w:r>
          </w:p>
        </w:tc>
        <w:tc>
          <w:tcPr>
            <w:tcW w:w="2953" w:type="dxa"/>
            <w:tcBorders>
              <w:top w:val="single" w:sz="8" w:space="0" w:color="auto"/>
              <w:left w:val="nil"/>
              <w:bottom w:val="nil"/>
              <w:right w:val="single" w:sz="8" w:space="0" w:color="auto"/>
            </w:tcBorders>
            <w:shd w:val="clear" w:color="auto" w:fill="auto"/>
            <w:vAlign w:val="center"/>
            <w:hideMark/>
          </w:tcPr>
          <w:p w14:paraId="0FBB770E"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primary endpoint：PFS</w:t>
            </w:r>
          </w:p>
        </w:tc>
      </w:tr>
      <w:tr w:rsidR="00FD5E77" w:rsidRPr="00FD5E77" w14:paraId="77C35711"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2C31ECD9"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（265例）</w:t>
            </w:r>
          </w:p>
        </w:tc>
        <w:tc>
          <w:tcPr>
            <w:tcW w:w="4047" w:type="dxa"/>
            <w:tcBorders>
              <w:top w:val="nil"/>
              <w:left w:val="single" w:sz="8" w:space="0" w:color="auto"/>
              <w:bottom w:val="single" w:sz="4" w:space="0" w:color="auto"/>
              <w:right w:val="single" w:sz="8" w:space="0" w:color="auto"/>
            </w:tcBorders>
            <w:shd w:val="clear" w:color="auto" w:fill="auto"/>
            <w:vAlign w:val="center"/>
            <w:hideMark/>
          </w:tcPr>
          <w:p w14:paraId="12580971"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2953" w:type="dxa"/>
            <w:tcBorders>
              <w:top w:val="nil"/>
              <w:left w:val="nil"/>
              <w:bottom w:val="nil"/>
              <w:right w:val="single" w:sz="8" w:space="0" w:color="auto"/>
            </w:tcBorders>
            <w:shd w:val="clear" w:color="auto" w:fill="auto"/>
            <w:vAlign w:val="center"/>
            <w:hideMark/>
          </w:tcPr>
          <w:p w14:paraId="566EE7E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PFS 8.4カ月 vs. 4.8カ月</w:t>
            </w:r>
          </w:p>
        </w:tc>
      </w:tr>
      <w:tr w:rsidR="00FD5E77" w:rsidRPr="00FD5E77" w14:paraId="3F5D934D"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1BF01253"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第</w:t>
            </w:r>
            <w:r w:rsidRPr="00FD5E77">
              <w:rPr>
                <w:rFonts w:ascii="ＭＳ 明朝" w:eastAsia="ＭＳ 明朝" w:hAnsi="ＭＳ 明朝" w:cs="ＭＳ 明朝" w:hint="eastAsia"/>
                <w:kern w:val="0"/>
                <w:sz w:val="18"/>
                <w:szCs w:val="18"/>
              </w:rPr>
              <w:t>Ⅱ</w:t>
            </w:r>
            <w:r w:rsidRPr="00FD5E77">
              <w:rPr>
                <w:rFonts w:cs="Times New Roman"/>
                <w:kern w:val="0"/>
                <w:sz w:val="18"/>
                <w:szCs w:val="18"/>
              </w:rPr>
              <w:t>相試験</w:t>
            </w:r>
          </w:p>
        </w:tc>
        <w:tc>
          <w:tcPr>
            <w:tcW w:w="4047" w:type="dxa"/>
            <w:tcBorders>
              <w:top w:val="nil"/>
              <w:left w:val="single" w:sz="8" w:space="0" w:color="auto"/>
              <w:bottom w:val="nil"/>
              <w:right w:val="single" w:sz="8" w:space="0" w:color="auto"/>
            </w:tcBorders>
            <w:shd w:val="clear" w:color="auto" w:fill="auto"/>
            <w:vAlign w:val="center"/>
            <w:hideMark/>
          </w:tcPr>
          <w:p w14:paraId="63FBCA66"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オラパリブカプセル 400 mg 1日2回(136例）</w:t>
            </w:r>
          </w:p>
        </w:tc>
        <w:tc>
          <w:tcPr>
            <w:tcW w:w="2953" w:type="dxa"/>
            <w:tcBorders>
              <w:top w:val="nil"/>
              <w:left w:val="nil"/>
              <w:bottom w:val="nil"/>
              <w:right w:val="single" w:sz="8" w:space="0" w:color="auto"/>
            </w:tcBorders>
            <w:shd w:val="clear" w:color="auto" w:fill="auto"/>
            <w:vAlign w:val="center"/>
            <w:hideMark/>
          </w:tcPr>
          <w:p w14:paraId="4D909980"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オラパリブ群で良好</w:t>
            </w:r>
          </w:p>
        </w:tc>
      </w:tr>
      <w:tr w:rsidR="00FD5E77" w:rsidRPr="00FD5E77" w14:paraId="0C3F0849" w14:textId="77777777" w:rsidTr="006D750D">
        <w:trPr>
          <w:trHeight w:val="360"/>
        </w:trPr>
        <w:tc>
          <w:tcPr>
            <w:tcW w:w="1780" w:type="dxa"/>
            <w:tcBorders>
              <w:top w:val="nil"/>
              <w:left w:val="single" w:sz="8" w:space="0" w:color="auto"/>
              <w:bottom w:val="nil"/>
              <w:right w:val="nil"/>
            </w:tcBorders>
            <w:shd w:val="clear" w:color="auto" w:fill="auto"/>
            <w:vAlign w:val="center"/>
            <w:hideMark/>
          </w:tcPr>
          <w:p w14:paraId="03E8B59C" w14:textId="77777777" w:rsidR="001D0929" w:rsidRPr="00FD5E77" w:rsidRDefault="001D0929" w:rsidP="006D750D">
            <w:pPr>
              <w:widowControl/>
              <w:snapToGrid w:val="0"/>
              <w:rPr>
                <w:rFonts w:cs="Times New Roman"/>
                <w:kern w:val="0"/>
                <w:sz w:val="18"/>
                <w:szCs w:val="18"/>
              </w:rPr>
            </w:pPr>
            <w:r w:rsidRPr="00FD5E77">
              <w:rPr>
                <w:rFonts w:cs="Times New Roman"/>
                <w:kern w:val="0"/>
                <w:sz w:val="18"/>
                <w:szCs w:val="18"/>
              </w:rPr>
              <w:t xml:space="preserve">　</w:t>
            </w:r>
          </w:p>
        </w:tc>
        <w:tc>
          <w:tcPr>
            <w:tcW w:w="4047" w:type="dxa"/>
            <w:tcBorders>
              <w:top w:val="nil"/>
              <w:left w:val="single" w:sz="8" w:space="0" w:color="auto"/>
              <w:bottom w:val="nil"/>
              <w:right w:val="single" w:sz="8" w:space="0" w:color="auto"/>
            </w:tcBorders>
            <w:shd w:val="clear" w:color="auto" w:fill="auto"/>
            <w:vAlign w:val="center"/>
            <w:hideMark/>
          </w:tcPr>
          <w:p w14:paraId="118BE3D6" w14:textId="77777777" w:rsidR="001D0929" w:rsidRPr="00FD5E77" w:rsidRDefault="001D0929" w:rsidP="006D750D">
            <w:pPr>
              <w:widowControl/>
              <w:snapToGrid w:val="0"/>
              <w:rPr>
                <w:rFonts w:cs="Times New Roman"/>
                <w:kern w:val="0"/>
                <w:sz w:val="18"/>
                <w:szCs w:val="18"/>
              </w:rPr>
            </w:pPr>
          </w:p>
        </w:tc>
        <w:tc>
          <w:tcPr>
            <w:tcW w:w="2953" w:type="dxa"/>
            <w:tcBorders>
              <w:top w:val="nil"/>
              <w:left w:val="nil"/>
              <w:bottom w:val="nil"/>
              <w:right w:val="single" w:sz="8" w:space="0" w:color="auto"/>
            </w:tcBorders>
            <w:shd w:val="clear" w:color="auto" w:fill="auto"/>
            <w:hideMark/>
          </w:tcPr>
          <w:p w14:paraId="3EB04B21" w14:textId="77777777" w:rsidR="001D0929" w:rsidRPr="00FD5E77" w:rsidRDefault="001D0929" w:rsidP="006D750D">
            <w:pPr>
              <w:widowControl/>
              <w:snapToGrid w:val="0"/>
              <w:jc w:val="left"/>
              <w:rPr>
                <w:rFonts w:cs="Times New Roman"/>
                <w:kern w:val="0"/>
                <w:sz w:val="18"/>
                <w:szCs w:val="18"/>
              </w:rPr>
            </w:pPr>
          </w:p>
        </w:tc>
      </w:tr>
      <w:tr w:rsidR="00FD5E77" w:rsidRPr="00FD5E77" w14:paraId="404AD73B" w14:textId="77777777" w:rsidTr="006D750D">
        <w:trPr>
          <w:trHeight w:val="360"/>
        </w:trPr>
        <w:tc>
          <w:tcPr>
            <w:tcW w:w="1780" w:type="dxa"/>
            <w:tcBorders>
              <w:top w:val="nil"/>
              <w:left w:val="single" w:sz="8" w:space="0" w:color="auto"/>
              <w:bottom w:val="nil"/>
              <w:right w:val="nil"/>
            </w:tcBorders>
            <w:shd w:val="clear" w:color="auto" w:fill="auto"/>
            <w:vAlign w:val="center"/>
          </w:tcPr>
          <w:p w14:paraId="692D7D15" w14:textId="77777777" w:rsidR="001D0929" w:rsidRPr="006F2A6F" w:rsidRDefault="001D0929" w:rsidP="006D750D">
            <w:pPr>
              <w:widowControl/>
              <w:snapToGrid w:val="0"/>
              <w:rPr>
                <w:rFonts w:cs="Times New Roman"/>
                <w:color w:val="FF0000"/>
                <w:kern w:val="0"/>
                <w:sz w:val="18"/>
                <w:szCs w:val="18"/>
              </w:rPr>
            </w:pPr>
            <w:r w:rsidRPr="006F2A6F">
              <w:rPr>
                <w:rFonts w:cs="Times New Roman" w:hint="eastAsia"/>
                <w:color w:val="FF0000"/>
                <w:kern w:val="0"/>
                <w:sz w:val="18"/>
                <w:szCs w:val="18"/>
              </w:rPr>
              <w:t>N</w:t>
            </w:r>
            <w:r w:rsidRPr="006F2A6F">
              <w:rPr>
                <w:rFonts w:cs="Times New Roman"/>
                <w:color w:val="FF0000"/>
                <w:kern w:val="0"/>
                <w:sz w:val="18"/>
                <w:szCs w:val="18"/>
              </w:rPr>
              <w:t>OVA</w:t>
            </w:r>
            <w:r w:rsidRPr="006F2A6F">
              <w:rPr>
                <w:rFonts w:cs="Times New Roman" w:hint="eastAsia"/>
                <w:color w:val="FF0000"/>
                <w:kern w:val="0"/>
                <w:sz w:val="18"/>
                <w:szCs w:val="18"/>
              </w:rPr>
              <w:t>試験</w:t>
            </w:r>
          </w:p>
        </w:tc>
        <w:tc>
          <w:tcPr>
            <w:tcW w:w="4047" w:type="dxa"/>
            <w:tcBorders>
              <w:top w:val="nil"/>
              <w:left w:val="single" w:sz="8" w:space="0" w:color="auto"/>
              <w:bottom w:val="nil"/>
              <w:right w:val="single" w:sz="8" w:space="0" w:color="auto"/>
            </w:tcBorders>
            <w:shd w:val="clear" w:color="auto" w:fill="auto"/>
            <w:vAlign w:val="center"/>
          </w:tcPr>
          <w:p w14:paraId="1124810C" w14:textId="77777777" w:rsidR="001D0929" w:rsidRPr="006F2A6F" w:rsidRDefault="001D0929" w:rsidP="006D750D">
            <w:pPr>
              <w:widowControl/>
              <w:snapToGrid w:val="0"/>
              <w:rPr>
                <w:rFonts w:cs="Times New Roman"/>
                <w:color w:val="FF0000"/>
                <w:kern w:val="0"/>
                <w:sz w:val="18"/>
                <w:szCs w:val="18"/>
              </w:rPr>
            </w:pPr>
            <w:r w:rsidRPr="006F2A6F">
              <w:rPr>
                <w:rFonts w:cs="Times New Roman" w:hint="eastAsia"/>
                <w:color w:val="FF0000"/>
                <w:kern w:val="0"/>
                <w:sz w:val="18"/>
                <w:szCs w:val="18"/>
              </w:rPr>
              <w:t>プラセボ1日1回(</w:t>
            </w:r>
            <w:r w:rsidRPr="006F2A6F">
              <w:rPr>
                <w:rFonts w:cs="Times New Roman"/>
                <w:color w:val="FF0000"/>
                <w:kern w:val="0"/>
                <w:sz w:val="18"/>
                <w:szCs w:val="18"/>
              </w:rPr>
              <w:t>181</w:t>
            </w:r>
            <w:r w:rsidRPr="006F2A6F">
              <w:rPr>
                <w:rFonts w:cs="Times New Roman" w:hint="eastAsia"/>
                <w:color w:val="FF0000"/>
                <w:kern w:val="0"/>
                <w:sz w:val="18"/>
                <w:szCs w:val="18"/>
              </w:rPr>
              <w:t>例</w:t>
            </w:r>
            <w:r w:rsidRPr="006F2A6F">
              <w:rPr>
                <w:rFonts w:cs="Times New Roman"/>
                <w:color w:val="FF0000"/>
                <w:kern w:val="0"/>
                <w:sz w:val="18"/>
                <w:szCs w:val="18"/>
              </w:rPr>
              <w:t>)</w:t>
            </w:r>
          </w:p>
        </w:tc>
        <w:tc>
          <w:tcPr>
            <w:tcW w:w="2953" w:type="dxa"/>
            <w:tcBorders>
              <w:top w:val="nil"/>
              <w:left w:val="nil"/>
              <w:bottom w:val="nil"/>
              <w:right w:val="single" w:sz="8" w:space="0" w:color="auto"/>
            </w:tcBorders>
            <w:shd w:val="clear" w:color="auto" w:fill="auto"/>
          </w:tcPr>
          <w:p w14:paraId="40776AD9" w14:textId="77777777" w:rsidR="001D0929" w:rsidRPr="006F2A6F" w:rsidRDefault="001D0929" w:rsidP="006D750D">
            <w:pPr>
              <w:widowControl/>
              <w:snapToGrid w:val="0"/>
              <w:jc w:val="left"/>
              <w:rPr>
                <w:rFonts w:cs="Times New Roman"/>
                <w:color w:val="FF0000"/>
                <w:kern w:val="0"/>
                <w:sz w:val="18"/>
                <w:szCs w:val="18"/>
              </w:rPr>
            </w:pPr>
            <w:r w:rsidRPr="006F2A6F">
              <w:rPr>
                <w:rFonts w:cs="Times New Roman"/>
                <w:color w:val="FF0000"/>
                <w:kern w:val="0"/>
                <w:sz w:val="18"/>
                <w:szCs w:val="18"/>
              </w:rPr>
              <w:t>Primary endpoint: PFS</w:t>
            </w:r>
          </w:p>
        </w:tc>
      </w:tr>
      <w:tr w:rsidR="00FD5E77" w:rsidRPr="00FD5E77" w14:paraId="0630EEA1" w14:textId="77777777" w:rsidTr="006D750D">
        <w:trPr>
          <w:trHeight w:val="360"/>
        </w:trPr>
        <w:tc>
          <w:tcPr>
            <w:tcW w:w="1780" w:type="dxa"/>
            <w:tcBorders>
              <w:top w:val="nil"/>
              <w:left w:val="single" w:sz="8" w:space="0" w:color="auto"/>
              <w:bottom w:val="nil"/>
              <w:right w:val="nil"/>
            </w:tcBorders>
            <w:shd w:val="clear" w:color="auto" w:fill="auto"/>
            <w:vAlign w:val="center"/>
          </w:tcPr>
          <w:p w14:paraId="122FC874" w14:textId="77777777" w:rsidR="001D0929" w:rsidRPr="006F2A6F" w:rsidRDefault="001D0929" w:rsidP="006D750D">
            <w:pPr>
              <w:widowControl/>
              <w:snapToGrid w:val="0"/>
              <w:rPr>
                <w:rFonts w:cs="Times New Roman"/>
                <w:color w:val="FF0000"/>
                <w:kern w:val="0"/>
                <w:sz w:val="18"/>
                <w:szCs w:val="18"/>
              </w:rPr>
            </w:pPr>
            <w:r w:rsidRPr="006F2A6F">
              <w:rPr>
                <w:rFonts w:cs="Times New Roman" w:hint="eastAsia"/>
                <w:color w:val="FF0000"/>
                <w:kern w:val="0"/>
                <w:sz w:val="18"/>
                <w:szCs w:val="18"/>
              </w:rPr>
              <w:t>(</w:t>
            </w:r>
            <w:r w:rsidRPr="006F2A6F">
              <w:rPr>
                <w:rFonts w:cs="Times New Roman"/>
                <w:color w:val="FF0000"/>
                <w:kern w:val="0"/>
                <w:sz w:val="18"/>
                <w:szCs w:val="18"/>
              </w:rPr>
              <w:t>553</w:t>
            </w:r>
            <w:r w:rsidRPr="006F2A6F">
              <w:rPr>
                <w:rFonts w:cs="Times New Roman" w:hint="eastAsia"/>
                <w:color w:val="FF0000"/>
                <w:kern w:val="0"/>
                <w:sz w:val="18"/>
                <w:szCs w:val="18"/>
              </w:rPr>
              <w:t>例</w:t>
            </w:r>
            <w:r w:rsidRPr="006F2A6F">
              <w:rPr>
                <w:rFonts w:cs="Times New Roman"/>
                <w:color w:val="FF0000"/>
                <w:kern w:val="0"/>
                <w:sz w:val="18"/>
                <w:szCs w:val="18"/>
              </w:rPr>
              <w:t>)</w:t>
            </w:r>
          </w:p>
        </w:tc>
        <w:tc>
          <w:tcPr>
            <w:tcW w:w="4047" w:type="dxa"/>
            <w:tcBorders>
              <w:top w:val="nil"/>
              <w:left w:val="single" w:sz="8" w:space="0" w:color="auto"/>
              <w:bottom w:val="nil"/>
              <w:right w:val="single" w:sz="8" w:space="0" w:color="auto"/>
            </w:tcBorders>
            <w:shd w:val="clear" w:color="auto" w:fill="auto"/>
            <w:vAlign w:val="center"/>
          </w:tcPr>
          <w:p w14:paraId="4E29D1B2" w14:textId="77777777" w:rsidR="001D0929" w:rsidRPr="006F2A6F" w:rsidRDefault="001D0929" w:rsidP="006D750D">
            <w:pPr>
              <w:widowControl/>
              <w:snapToGrid w:val="0"/>
              <w:rPr>
                <w:rFonts w:cs="Times New Roman"/>
                <w:color w:val="FF0000"/>
                <w:kern w:val="0"/>
                <w:sz w:val="18"/>
                <w:szCs w:val="18"/>
              </w:rPr>
            </w:pPr>
          </w:p>
        </w:tc>
        <w:tc>
          <w:tcPr>
            <w:tcW w:w="2953" w:type="dxa"/>
            <w:tcBorders>
              <w:top w:val="nil"/>
              <w:left w:val="nil"/>
              <w:bottom w:val="nil"/>
              <w:right w:val="single" w:sz="8" w:space="0" w:color="auto"/>
            </w:tcBorders>
            <w:shd w:val="clear" w:color="auto" w:fill="auto"/>
          </w:tcPr>
          <w:p w14:paraId="355E8569" w14:textId="77777777" w:rsidR="001D0929" w:rsidRPr="006F2A6F" w:rsidRDefault="001D0929" w:rsidP="006D750D">
            <w:pPr>
              <w:widowControl/>
              <w:snapToGrid w:val="0"/>
              <w:jc w:val="left"/>
              <w:rPr>
                <w:rFonts w:cs="Times New Roman"/>
                <w:color w:val="FF0000"/>
                <w:kern w:val="0"/>
                <w:sz w:val="18"/>
                <w:szCs w:val="18"/>
              </w:rPr>
            </w:pPr>
            <w:proofErr w:type="spellStart"/>
            <w:r w:rsidRPr="006F2A6F">
              <w:rPr>
                <w:rFonts w:cs="Times New Roman"/>
                <w:i/>
                <w:iCs/>
                <w:color w:val="FF0000"/>
                <w:kern w:val="0"/>
                <w:sz w:val="18"/>
                <w:szCs w:val="18"/>
              </w:rPr>
              <w:t>gBRCA</w:t>
            </w:r>
            <w:proofErr w:type="spellEnd"/>
            <w:r w:rsidRPr="006F2A6F">
              <w:rPr>
                <w:rFonts w:cs="Times New Roman" w:hint="eastAsia"/>
                <w:color w:val="FF0000"/>
                <w:kern w:val="0"/>
                <w:sz w:val="18"/>
                <w:szCs w:val="18"/>
              </w:rPr>
              <w:t>陽性者：2</w:t>
            </w:r>
            <w:r w:rsidRPr="006F2A6F">
              <w:rPr>
                <w:rFonts w:cs="Times New Roman"/>
                <w:color w:val="FF0000"/>
                <w:kern w:val="0"/>
                <w:sz w:val="18"/>
                <w:szCs w:val="18"/>
              </w:rPr>
              <w:t>1 vs 5.5</w:t>
            </w:r>
            <w:r w:rsidRPr="006F2A6F">
              <w:rPr>
                <w:rFonts w:cs="Times New Roman" w:hint="eastAsia"/>
                <w:color w:val="FF0000"/>
                <w:kern w:val="0"/>
                <w:sz w:val="18"/>
                <w:szCs w:val="18"/>
              </w:rPr>
              <w:t>ヶ月</w:t>
            </w:r>
          </w:p>
        </w:tc>
      </w:tr>
      <w:tr w:rsidR="00FD5E77" w:rsidRPr="00FD5E77" w14:paraId="7CC61637" w14:textId="77777777" w:rsidTr="006D750D">
        <w:trPr>
          <w:trHeight w:val="360"/>
        </w:trPr>
        <w:tc>
          <w:tcPr>
            <w:tcW w:w="1780" w:type="dxa"/>
            <w:tcBorders>
              <w:top w:val="nil"/>
              <w:left w:val="single" w:sz="8" w:space="0" w:color="auto"/>
              <w:bottom w:val="nil"/>
              <w:right w:val="nil"/>
            </w:tcBorders>
            <w:shd w:val="clear" w:color="auto" w:fill="auto"/>
            <w:vAlign w:val="center"/>
          </w:tcPr>
          <w:p w14:paraId="1E3F5608" w14:textId="77777777" w:rsidR="001D0929" w:rsidRPr="006F2A6F" w:rsidRDefault="00662518" w:rsidP="006D750D">
            <w:pPr>
              <w:widowControl/>
              <w:snapToGrid w:val="0"/>
              <w:rPr>
                <w:rFonts w:cs="Times New Roman"/>
                <w:color w:val="FF0000"/>
                <w:kern w:val="0"/>
                <w:sz w:val="18"/>
                <w:szCs w:val="18"/>
              </w:rPr>
            </w:pPr>
            <w:r w:rsidRPr="00662518">
              <w:rPr>
                <w:rFonts w:cs="Times New Roman"/>
                <w:color w:val="FF0000"/>
                <w:kern w:val="0"/>
                <w:sz w:val="18"/>
                <w:szCs w:val="18"/>
              </w:rPr>
              <w:t>第</w:t>
            </w:r>
            <w:r w:rsidRPr="00662518">
              <w:rPr>
                <w:rFonts w:ascii="ＭＳ 明朝" w:eastAsia="ＭＳ 明朝" w:hAnsi="ＭＳ 明朝" w:cs="ＭＳ 明朝" w:hint="eastAsia"/>
                <w:color w:val="FF0000"/>
                <w:kern w:val="0"/>
                <w:sz w:val="18"/>
                <w:szCs w:val="18"/>
              </w:rPr>
              <w:t>Ⅱ</w:t>
            </w:r>
            <w:r w:rsidRPr="00662518">
              <w:rPr>
                <w:rFonts w:cs="Times New Roman"/>
                <w:color w:val="FF0000"/>
                <w:kern w:val="0"/>
                <w:sz w:val="18"/>
                <w:szCs w:val="18"/>
              </w:rPr>
              <w:t>相試験</w:t>
            </w:r>
          </w:p>
        </w:tc>
        <w:tc>
          <w:tcPr>
            <w:tcW w:w="4047" w:type="dxa"/>
            <w:tcBorders>
              <w:top w:val="nil"/>
              <w:left w:val="single" w:sz="8" w:space="0" w:color="auto"/>
              <w:bottom w:val="nil"/>
              <w:right w:val="single" w:sz="8" w:space="0" w:color="auto"/>
            </w:tcBorders>
            <w:shd w:val="clear" w:color="auto" w:fill="auto"/>
            <w:vAlign w:val="center"/>
          </w:tcPr>
          <w:p w14:paraId="7ED42594" w14:textId="77777777" w:rsidR="001D0929" w:rsidRPr="006F2A6F" w:rsidRDefault="001D0929" w:rsidP="006D750D">
            <w:pPr>
              <w:widowControl/>
              <w:snapToGrid w:val="0"/>
              <w:rPr>
                <w:rFonts w:cs="Times New Roman"/>
                <w:color w:val="FF0000"/>
                <w:kern w:val="0"/>
                <w:sz w:val="18"/>
                <w:szCs w:val="18"/>
              </w:rPr>
            </w:pPr>
            <w:r w:rsidRPr="006F2A6F">
              <w:rPr>
                <w:rFonts w:cs="Times New Roman" w:hint="eastAsia"/>
                <w:color w:val="FF0000"/>
                <w:kern w:val="0"/>
                <w:sz w:val="18"/>
                <w:szCs w:val="18"/>
              </w:rPr>
              <w:t xml:space="preserve">ニラパリブ1日1回 </w:t>
            </w:r>
            <w:r w:rsidRPr="006F2A6F">
              <w:rPr>
                <w:rFonts w:cs="Times New Roman"/>
                <w:color w:val="FF0000"/>
                <w:kern w:val="0"/>
                <w:sz w:val="18"/>
                <w:szCs w:val="18"/>
              </w:rPr>
              <w:t>300mg (372</w:t>
            </w:r>
            <w:r w:rsidRPr="006F2A6F">
              <w:rPr>
                <w:rFonts w:cs="Times New Roman" w:hint="eastAsia"/>
                <w:color w:val="FF0000"/>
                <w:kern w:val="0"/>
                <w:sz w:val="18"/>
                <w:szCs w:val="18"/>
              </w:rPr>
              <w:t>例</w:t>
            </w:r>
            <w:r w:rsidRPr="006F2A6F">
              <w:rPr>
                <w:rFonts w:cs="Times New Roman"/>
                <w:color w:val="FF0000"/>
                <w:kern w:val="0"/>
                <w:sz w:val="18"/>
                <w:szCs w:val="18"/>
              </w:rPr>
              <w:t>)</w:t>
            </w:r>
          </w:p>
        </w:tc>
        <w:tc>
          <w:tcPr>
            <w:tcW w:w="2953" w:type="dxa"/>
            <w:tcBorders>
              <w:top w:val="nil"/>
              <w:left w:val="nil"/>
              <w:bottom w:val="nil"/>
              <w:right w:val="single" w:sz="8" w:space="0" w:color="auto"/>
            </w:tcBorders>
            <w:shd w:val="clear" w:color="auto" w:fill="auto"/>
          </w:tcPr>
          <w:p w14:paraId="2BB29335" w14:textId="77777777" w:rsidR="001D0929" w:rsidRPr="006F2A6F" w:rsidRDefault="001D0929" w:rsidP="006D750D">
            <w:pPr>
              <w:widowControl/>
              <w:snapToGrid w:val="0"/>
              <w:jc w:val="left"/>
              <w:rPr>
                <w:rFonts w:cs="Times New Roman"/>
                <w:color w:val="FF0000"/>
                <w:kern w:val="0"/>
                <w:sz w:val="18"/>
                <w:szCs w:val="18"/>
              </w:rPr>
            </w:pPr>
            <w:r w:rsidRPr="006F2A6F">
              <w:rPr>
                <w:rFonts w:cs="Times New Roman" w:hint="eastAsia"/>
                <w:color w:val="FF0000"/>
                <w:kern w:val="0"/>
                <w:sz w:val="18"/>
                <w:szCs w:val="18"/>
              </w:rPr>
              <w:t>ニラパリブ群で良好</w:t>
            </w:r>
          </w:p>
        </w:tc>
      </w:tr>
      <w:tr w:rsidR="00FD5E77" w:rsidRPr="00FD5E77" w14:paraId="061EBACF" w14:textId="77777777" w:rsidTr="006D750D">
        <w:trPr>
          <w:trHeight w:val="360"/>
        </w:trPr>
        <w:tc>
          <w:tcPr>
            <w:tcW w:w="1780" w:type="dxa"/>
            <w:tcBorders>
              <w:top w:val="nil"/>
              <w:left w:val="single" w:sz="8" w:space="0" w:color="auto"/>
              <w:bottom w:val="nil"/>
              <w:right w:val="nil"/>
            </w:tcBorders>
            <w:shd w:val="clear" w:color="auto" w:fill="auto"/>
            <w:vAlign w:val="center"/>
          </w:tcPr>
          <w:p w14:paraId="564F4480" w14:textId="77777777" w:rsidR="001D0929" w:rsidRPr="006F2A6F" w:rsidRDefault="001D0929" w:rsidP="006D750D">
            <w:pPr>
              <w:widowControl/>
              <w:snapToGrid w:val="0"/>
              <w:rPr>
                <w:rFonts w:cs="Times New Roman"/>
                <w:color w:val="FF0000"/>
                <w:kern w:val="0"/>
                <w:sz w:val="18"/>
                <w:szCs w:val="18"/>
              </w:rPr>
            </w:pPr>
          </w:p>
        </w:tc>
        <w:tc>
          <w:tcPr>
            <w:tcW w:w="4047" w:type="dxa"/>
            <w:tcBorders>
              <w:top w:val="nil"/>
              <w:left w:val="single" w:sz="8" w:space="0" w:color="auto"/>
              <w:bottom w:val="nil"/>
              <w:right w:val="single" w:sz="8" w:space="0" w:color="auto"/>
            </w:tcBorders>
            <w:shd w:val="clear" w:color="auto" w:fill="auto"/>
            <w:vAlign w:val="center"/>
          </w:tcPr>
          <w:p w14:paraId="3A03BA8B" w14:textId="77777777" w:rsidR="001D0929" w:rsidRPr="006F2A6F" w:rsidRDefault="001D0929" w:rsidP="006D750D">
            <w:pPr>
              <w:widowControl/>
              <w:snapToGrid w:val="0"/>
              <w:rPr>
                <w:rFonts w:cs="Times New Roman"/>
                <w:color w:val="FF0000"/>
                <w:kern w:val="0"/>
                <w:sz w:val="18"/>
                <w:szCs w:val="18"/>
              </w:rPr>
            </w:pPr>
          </w:p>
        </w:tc>
        <w:tc>
          <w:tcPr>
            <w:tcW w:w="2953" w:type="dxa"/>
            <w:tcBorders>
              <w:top w:val="nil"/>
              <w:left w:val="nil"/>
              <w:bottom w:val="nil"/>
              <w:right w:val="single" w:sz="8" w:space="0" w:color="auto"/>
            </w:tcBorders>
            <w:shd w:val="clear" w:color="auto" w:fill="auto"/>
          </w:tcPr>
          <w:p w14:paraId="3C182A62" w14:textId="77777777" w:rsidR="001D0929" w:rsidRPr="006F2A6F" w:rsidRDefault="001D0929" w:rsidP="006D750D">
            <w:pPr>
              <w:widowControl/>
              <w:snapToGrid w:val="0"/>
              <w:jc w:val="left"/>
              <w:rPr>
                <w:rFonts w:cs="Times New Roman"/>
                <w:color w:val="FF0000"/>
                <w:kern w:val="0"/>
                <w:sz w:val="18"/>
                <w:szCs w:val="18"/>
              </w:rPr>
            </w:pPr>
            <w:proofErr w:type="spellStart"/>
            <w:r w:rsidRPr="006F2A6F">
              <w:rPr>
                <w:rFonts w:cs="Times New Roman"/>
                <w:i/>
                <w:iCs/>
                <w:color w:val="FF0000"/>
                <w:kern w:val="0"/>
                <w:sz w:val="18"/>
                <w:szCs w:val="18"/>
              </w:rPr>
              <w:t>gBRCA</w:t>
            </w:r>
            <w:proofErr w:type="spellEnd"/>
            <w:r w:rsidRPr="006F2A6F">
              <w:rPr>
                <w:rFonts w:cs="Times New Roman" w:hint="eastAsia"/>
                <w:color w:val="FF0000"/>
                <w:kern w:val="0"/>
                <w:sz w:val="18"/>
                <w:szCs w:val="18"/>
              </w:rPr>
              <w:t>陰性者：9</w:t>
            </w:r>
            <w:r w:rsidRPr="006F2A6F">
              <w:rPr>
                <w:rFonts w:cs="Times New Roman"/>
                <w:color w:val="FF0000"/>
                <w:kern w:val="0"/>
                <w:sz w:val="18"/>
                <w:szCs w:val="18"/>
              </w:rPr>
              <w:t>.3 vs 3.9</w:t>
            </w:r>
            <w:r w:rsidRPr="006F2A6F">
              <w:rPr>
                <w:rFonts w:cs="Times New Roman" w:hint="eastAsia"/>
                <w:color w:val="FF0000"/>
                <w:kern w:val="0"/>
                <w:sz w:val="18"/>
                <w:szCs w:val="18"/>
              </w:rPr>
              <w:t>ヶ月</w:t>
            </w:r>
          </w:p>
        </w:tc>
      </w:tr>
      <w:tr w:rsidR="001D0929" w:rsidRPr="00FD5E77" w14:paraId="0278190A" w14:textId="77777777" w:rsidTr="006D750D">
        <w:trPr>
          <w:trHeight w:val="360"/>
        </w:trPr>
        <w:tc>
          <w:tcPr>
            <w:tcW w:w="1780" w:type="dxa"/>
            <w:tcBorders>
              <w:top w:val="nil"/>
              <w:left w:val="single" w:sz="8" w:space="0" w:color="auto"/>
              <w:bottom w:val="single" w:sz="8" w:space="0" w:color="auto"/>
              <w:right w:val="nil"/>
            </w:tcBorders>
            <w:shd w:val="clear" w:color="auto" w:fill="auto"/>
            <w:vAlign w:val="center"/>
          </w:tcPr>
          <w:p w14:paraId="63F15C6E" w14:textId="77777777" w:rsidR="001D0929" w:rsidRPr="006F2A6F" w:rsidRDefault="001D0929" w:rsidP="006D750D">
            <w:pPr>
              <w:widowControl/>
              <w:snapToGrid w:val="0"/>
              <w:rPr>
                <w:rFonts w:cs="Times New Roman"/>
                <w:color w:val="FF0000"/>
                <w:kern w:val="0"/>
                <w:sz w:val="18"/>
                <w:szCs w:val="18"/>
              </w:rPr>
            </w:pPr>
          </w:p>
        </w:tc>
        <w:tc>
          <w:tcPr>
            <w:tcW w:w="4047" w:type="dxa"/>
            <w:tcBorders>
              <w:top w:val="nil"/>
              <w:left w:val="single" w:sz="8" w:space="0" w:color="auto"/>
              <w:bottom w:val="single" w:sz="8" w:space="0" w:color="auto"/>
              <w:right w:val="single" w:sz="8" w:space="0" w:color="auto"/>
            </w:tcBorders>
            <w:shd w:val="clear" w:color="auto" w:fill="auto"/>
            <w:vAlign w:val="center"/>
          </w:tcPr>
          <w:p w14:paraId="3D73E1DF" w14:textId="77777777" w:rsidR="001D0929" w:rsidRPr="006F2A6F" w:rsidRDefault="001D0929" w:rsidP="006D750D">
            <w:pPr>
              <w:widowControl/>
              <w:snapToGrid w:val="0"/>
              <w:rPr>
                <w:rFonts w:cs="Times New Roman"/>
                <w:color w:val="FF0000"/>
                <w:kern w:val="0"/>
                <w:sz w:val="18"/>
                <w:szCs w:val="18"/>
              </w:rPr>
            </w:pPr>
          </w:p>
        </w:tc>
        <w:tc>
          <w:tcPr>
            <w:tcW w:w="2953" w:type="dxa"/>
            <w:tcBorders>
              <w:top w:val="nil"/>
              <w:left w:val="nil"/>
              <w:bottom w:val="single" w:sz="8" w:space="0" w:color="auto"/>
              <w:right w:val="single" w:sz="8" w:space="0" w:color="auto"/>
            </w:tcBorders>
            <w:shd w:val="clear" w:color="auto" w:fill="auto"/>
          </w:tcPr>
          <w:p w14:paraId="21ACEFCC" w14:textId="77777777" w:rsidR="001D0929" w:rsidRPr="006F2A6F" w:rsidRDefault="001D0929" w:rsidP="006D750D">
            <w:pPr>
              <w:widowControl/>
              <w:snapToGrid w:val="0"/>
              <w:jc w:val="left"/>
              <w:rPr>
                <w:rFonts w:cs="Times New Roman"/>
                <w:color w:val="FF0000"/>
                <w:kern w:val="0"/>
                <w:sz w:val="18"/>
                <w:szCs w:val="18"/>
              </w:rPr>
            </w:pPr>
            <w:r w:rsidRPr="006F2A6F">
              <w:rPr>
                <w:rFonts w:cs="Times New Roman" w:hint="eastAsia"/>
                <w:color w:val="FF0000"/>
                <w:kern w:val="0"/>
                <w:sz w:val="18"/>
                <w:szCs w:val="18"/>
              </w:rPr>
              <w:t>ニラパリブ群で良好</w:t>
            </w:r>
          </w:p>
        </w:tc>
      </w:tr>
    </w:tbl>
    <w:p w14:paraId="54654363" w14:textId="77777777" w:rsidR="001D0929" w:rsidRPr="00FD5E77" w:rsidRDefault="001D0929" w:rsidP="001D0929">
      <w:pPr>
        <w:suppressLineNumbers/>
        <w:rPr>
          <w:sz w:val="18"/>
          <w:szCs w:val="18"/>
        </w:rPr>
      </w:pPr>
    </w:p>
    <w:p w14:paraId="4BD713FE" w14:textId="77777777" w:rsidR="001D0929" w:rsidRPr="00FD5E77" w:rsidRDefault="001D0929" w:rsidP="001D0929">
      <w:pPr>
        <w:widowControl/>
        <w:suppressLineNumbers/>
        <w:jc w:val="left"/>
        <w:rPr>
          <w:sz w:val="18"/>
          <w:szCs w:val="18"/>
        </w:rPr>
      </w:pPr>
    </w:p>
    <w:p w14:paraId="1526DEC1" w14:textId="77777777" w:rsidR="001D0929" w:rsidRPr="00FD5E77" w:rsidRDefault="001D0929" w:rsidP="001D0929"/>
    <w:p w14:paraId="0F3C3FAC" w14:textId="77777777" w:rsidR="001D0929" w:rsidRPr="00FD5E77" w:rsidRDefault="001D0929" w:rsidP="001D0929">
      <w:r w:rsidRPr="00FD5E77">
        <w:rPr>
          <w:rFonts w:hint="eastAsia"/>
        </w:rPr>
        <w:t>【参考文献】</w:t>
      </w:r>
    </w:p>
    <w:p w14:paraId="15636DBF" w14:textId="77777777" w:rsidR="001D0929" w:rsidRPr="00FD5E77" w:rsidRDefault="001D0929" w:rsidP="001D0929">
      <w:pPr>
        <w:ind w:left="270" w:hangingChars="150" w:hanging="270"/>
        <w:rPr>
          <w:sz w:val="18"/>
        </w:rPr>
      </w:pPr>
      <w:r w:rsidRPr="00FD5E77">
        <w:rPr>
          <w:rFonts w:hint="eastAsia"/>
          <w:sz w:val="18"/>
        </w:rPr>
        <w:t xml:space="preserve">1） Markman M, Markman J, Webster K, </w:t>
      </w:r>
      <w:proofErr w:type="spellStart"/>
      <w:r w:rsidRPr="00FD5E77">
        <w:rPr>
          <w:rFonts w:hint="eastAsia"/>
          <w:sz w:val="18"/>
        </w:rPr>
        <w:t>Zanotti</w:t>
      </w:r>
      <w:proofErr w:type="spellEnd"/>
      <w:r w:rsidRPr="00FD5E77">
        <w:rPr>
          <w:rFonts w:hint="eastAsia"/>
          <w:sz w:val="18"/>
        </w:rPr>
        <w:t xml:space="preserve"> K, </w:t>
      </w:r>
      <w:proofErr w:type="spellStart"/>
      <w:r w:rsidRPr="00FD5E77">
        <w:rPr>
          <w:rFonts w:hint="eastAsia"/>
          <w:sz w:val="18"/>
        </w:rPr>
        <w:t>Kulp</w:t>
      </w:r>
      <w:proofErr w:type="spellEnd"/>
      <w:r w:rsidRPr="00FD5E77">
        <w:rPr>
          <w:rFonts w:hint="eastAsia"/>
          <w:sz w:val="18"/>
        </w:rPr>
        <w:t xml:space="preserve"> B, Peterson G, et al. Duration of response to </w:t>
      </w:r>
      <w:r w:rsidRPr="00FD5E77">
        <w:rPr>
          <w:sz w:val="18"/>
        </w:rPr>
        <w:t>second-line, platinum-based chemotherapy for ovarian cancer : implications for patient management</w:t>
      </w:r>
      <w:r w:rsidRPr="00FD5E77">
        <w:rPr>
          <w:rFonts w:hint="eastAsia"/>
          <w:sz w:val="18"/>
        </w:rPr>
        <w:t xml:space="preserve"> and clinical trial design. J Clin Oncol 2004 ; 22 : 3120-5（ケースコントロール）【旧】</w:t>
      </w:r>
    </w:p>
    <w:p w14:paraId="2275FE12" w14:textId="77777777" w:rsidR="001D0929" w:rsidRPr="00FD5E77" w:rsidRDefault="001D0929" w:rsidP="001D0929">
      <w:pPr>
        <w:ind w:left="270" w:hangingChars="150" w:hanging="270"/>
        <w:rPr>
          <w:sz w:val="18"/>
        </w:rPr>
      </w:pPr>
      <w:r w:rsidRPr="00FD5E77">
        <w:rPr>
          <w:rFonts w:hint="eastAsia"/>
          <w:sz w:val="18"/>
        </w:rPr>
        <w:lastRenderedPageBreak/>
        <w:t xml:space="preserve">2） Parmar MK, Ledermann JA, Colombo N, du </w:t>
      </w:r>
      <w:proofErr w:type="spellStart"/>
      <w:r w:rsidRPr="00FD5E77">
        <w:rPr>
          <w:rFonts w:hint="eastAsia"/>
          <w:sz w:val="18"/>
        </w:rPr>
        <w:t>Bois</w:t>
      </w:r>
      <w:proofErr w:type="spellEnd"/>
      <w:r w:rsidRPr="00FD5E77">
        <w:rPr>
          <w:rFonts w:hint="eastAsia"/>
          <w:sz w:val="18"/>
        </w:rPr>
        <w:t xml:space="preserve"> A, </w:t>
      </w:r>
      <w:proofErr w:type="spellStart"/>
      <w:r w:rsidRPr="00FD5E77">
        <w:rPr>
          <w:rFonts w:hint="eastAsia"/>
          <w:sz w:val="18"/>
        </w:rPr>
        <w:t>Delaloye</w:t>
      </w:r>
      <w:proofErr w:type="spellEnd"/>
      <w:r w:rsidRPr="00FD5E77">
        <w:rPr>
          <w:rFonts w:hint="eastAsia"/>
          <w:sz w:val="18"/>
        </w:rPr>
        <w:t xml:space="preserve"> JF, Kristensen GB, et al. Paclitaxel plus </w:t>
      </w:r>
      <w:r w:rsidRPr="00FD5E77">
        <w:rPr>
          <w:sz w:val="18"/>
        </w:rPr>
        <w:t>platinum-based chemotherapy versus conventional platinum-based chemotherapy in women with</w:t>
      </w:r>
      <w:r w:rsidRPr="00FD5E77">
        <w:rPr>
          <w:rFonts w:hint="eastAsia"/>
          <w:sz w:val="18"/>
        </w:rPr>
        <w:t xml:space="preserve"> relapsed ovarian cancer : the ICON4 / AGO-OVAR-2. 2 trial. Lancet 2003 ; 361 : 2099-106（ランダム）【旧】</w:t>
      </w:r>
      <w:r w:rsidRPr="00FD5E77">
        <w:rPr>
          <w:sz w:val="18"/>
        </w:rPr>
        <w:t>NCT00002894</w:t>
      </w:r>
    </w:p>
    <w:p w14:paraId="23A0CF88" w14:textId="77777777" w:rsidR="001D0929" w:rsidRPr="00FD5E77" w:rsidRDefault="001D0929" w:rsidP="001D0929">
      <w:pPr>
        <w:ind w:left="270" w:hangingChars="150" w:hanging="270"/>
        <w:rPr>
          <w:sz w:val="18"/>
        </w:rPr>
      </w:pPr>
      <w:r w:rsidRPr="00FD5E77">
        <w:rPr>
          <w:rFonts w:hint="eastAsia"/>
          <w:sz w:val="18"/>
        </w:rPr>
        <w:t xml:space="preserve">3） </w:t>
      </w:r>
      <w:proofErr w:type="spellStart"/>
      <w:r w:rsidRPr="00FD5E77">
        <w:rPr>
          <w:rFonts w:hint="eastAsia"/>
          <w:sz w:val="18"/>
        </w:rPr>
        <w:t>Pfisterer</w:t>
      </w:r>
      <w:proofErr w:type="spellEnd"/>
      <w:r w:rsidRPr="00FD5E77">
        <w:rPr>
          <w:rFonts w:hint="eastAsia"/>
          <w:sz w:val="18"/>
        </w:rPr>
        <w:t xml:space="preserve"> J, Plante M, </w:t>
      </w:r>
      <w:proofErr w:type="spellStart"/>
      <w:r w:rsidRPr="00FD5E77">
        <w:rPr>
          <w:rFonts w:hint="eastAsia"/>
          <w:sz w:val="18"/>
        </w:rPr>
        <w:t>Vergote</w:t>
      </w:r>
      <w:proofErr w:type="spellEnd"/>
      <w:r w:rsidRPr="00FD5E77">
        <w:rPr>
          <w:rFonts w:hint="eastAsia"/>
          <w:sz w:val="18"/>
        </w:rPr>
        <w:t xml:space="preserve"> I, du </w:t>
      </w:r>
      <w:proofErr w:type="spellStart"/>
      <w:r w:rsidRPr="00FD5E77">
        <w:rPr>
          <w:rFonts w:hint="eastAsia"/>
          <w:sz w:val="18"/>
        </w:rPr>
        <w:t>Bois</w:t>
      </w:r>
      <w:proofErr w:type="spellEnd"/>
      <w:r w:rsidRPr="00FD5E77">
        <w:rPr>
          <w:rFonts w:hint="eastAsia"/>
          <w:sz w:val="18"/>
        </w:rPr>
        <w:t xml:space="preserve"> A, </w:t>
      </w:r>
      <w:proofErr w:type="spellStart"/>
      <w:r w:rsidRPr="00FD5E77">
        <w:rPr>
          <w:rFonts w:hint="eastAsia"/>
          <w:sz w:val="18"/>
        </w:rPr>
        <w:t>Hirte</w:t>
      </w:r>
      <w:proofErr w:type="spellEnd"/>
      <w:r w:rsidRPr="00FD5E77">
        <w:rPr>
          <w:rFonts w:hint="eastAsia"/>
          <w:sz w:val="18"/>
        </w:rPr>
        <w:t xml:space="preserve"> H, </w:t>
      </w:r>
      <w:proofErr w:type="spellStart"/>
      <w:r w:rsidRPr="00FD5E77">
        <w:rPr>
          <w:rFonts w:hint="eastAsia"/>
          <w:sz w:val="18"/>
        </w:rPr>
        <w:t>Lacave</w:t>
      </w:r>
      <w:proofErr w:type="spellEnd"/>
      <w:r w:rsidRPr="00FD5E77">
        <w:rPr>
          <w:rFonts w:hint="eastAsia"/>
          <w:sz w:val="18"/>
        </w:rPr>
        <w:t xml:space="preserve"> AJ, et al. Gemcitabine plus carboplatin </w:t>
      </w:r>
      <w:r w:rsidRPr="00FD5E77">
        <w:rPr>
          <w:sz w:val="18"/>
        </w:rPr>
        <w:t>compared with carboplatin in patients with platinum-sensitive recurrent ovarian cancer : an</w:t>
      </w:r>
      <w:r w:rsidRPr="00FD5E77">
        <w:rPr>
          <w:rFonts w:hint="eastAsia"/>
          <w:sz w:val="18"/>
        </w:rPr>
        <w:t xml:space="preserve"> </w:t>
      </w:r>
      <w:r w:rsidRPr="00FD5E77">
        <w:rPr>
          <w:sz w:val="18"/>
        </w:rPr>
        <w:t>intergroup trial of the AGO-OVAR, the NCIC CTG, and the EORTC GCG. J Clin Oncol 2006 ; 24 :</w:t>
      </w:r>
      <w:r w:rsidRPr="00FD5E77">
        <w:rPr>
          <w:rFonts w:hint="eastAsia"/>
          <w:sz w:val="18"/>
        </w:rPr>
        <w:t xml:space="preserve"> 4699-707（ランダム）【旧】NCT00102414</w:t>
      </w:r>
    </w:p>
    <w:p w14:paraId="6B4669D2" w14:textId="77777777" w:rsidR="001D0929" w:rsidRPr="00FD5E77" w:rsidRDefault="001D0929" w:rsidP="001D0929">
      <w:pPr>
        <w:ind w:left="270" w:hangingChars="150" w:hanging="270"/>
        <w:rPr>
          <w:sz w:val="18"/>
        </w:rPr>
      </w:pPr>
      <w:r w:rsidRPr="00FD5E77">
        <w:rPr>
          <w:rFonts w:hint="eastAsia"/>
          <w:sz w:val="18"/>
        </w:rPr>
        <w:t xml:space="preserve">4） </w:t>
      </w:r>
      <w:proofErr w:type="spellStart"/>
      <w:r w:rsidRPr="00FD5E77">
        <w:rPr>
          <w:rFonts w:hint="eastAsia"/>
          <w:sz w:val="18"/>
        </w:rPr>
        <w:t>Pujade-Lauraine</w:t>
      </w:r>
      <w:proofErr w:type="spellEnd"/>
      <w:r w:rsidRPr="00FD5E77">
        <w:rPr>
          <w:rFonts w:hint="eastAsia"/>
          <w:sz w:val="18"/>
        </w:rPr>
        <w:t xml:space="preserve"> E, Wagner U, </w:t>
      </w:r>
      <w:proofErr w:type="spellStart"/>
      <w:r w:rsidRPr="00FD5E77">
        <w:rPr>
          <w:rFonts w:hint="eastAsia"/>
          <w:sz w:val="18"/>
        </w:rPr>
        <w:t>Aavall</w:t>
      </w:r>
      <w:proofErr w:type="spellEnd"/>
      <w:r w:rsidRPr="00FD5E77">
        <w:rPr>
          <w:rFonts w:hint="eastAsia"/>
          <w:sz w:val="18"/>
        </w:rPr>
        <w:t xml:space="preserve">-Lundqvist E, </w:t>
      </w:r>
      <w:proofErr w:type="spellStart"/>
      <w:r w:rsidRPr="00FD5E77">
        <w:rPr>
          <w:rFonts w:hint="eastAsia"/>
          <w:sz w:val="18"/>
        </w:rPr>
        <w:t>Gebski</w:t>
      </w:r>
      <w:proofErr w:type="spellEnd"/>
      <w:r w:rsidRPr="00FD5E77">
        <w:rPr>
          <w:rFonts w:hint="eastAsia"/>
          <w:sz w:val="18"/>
        </w:rPr>
        <w:t xml:space="preserve"> V, Heywood M, Vasey PA, et al. Pegylated </w:t>
      </w:r>
      <w:r w:rsidRPr="00FD5E77">
        <w:rPr>
          <w:sz w:val="18"/>
        </w:rPr>
        <w:t xml:space="preserve">liposomal doxorubicin and carboplatin compared with paclitaxel and </w:t>
      </w:r>
      <w:proofErr w:type="spellStart"/>
      <w:r w:rsidRPr="00FD5E77">
        <w:rPr>
          <w:sz w:val="18"/>
        </w:rPr>
        <w:t>carbopratin</w:t>
      </w:r>
      <w:proofErr w:type="spellEnd"/>
      <w:r w:rsidRPr="00FD5E77">
        <w:rPr>
          <w:sz w:val="18"/>
        </w:rPr>
        <w:t xml:space="preserve"> for patients with</w:t>
      </w:r>
      <w:r w:rsidRPr="00FD5E77">
        <w:rPr>
          <w:rFonts w:hint="eastAsia"/>
          <w:sz w:val="18"/>
        </w:rPr>
        <w:t xml:space="preserve"> platinum-sensitive ovarian cancer in late relapse. J Clin Oncol 2010 ; 28 : 3323-9（ランダム）【旧】NCT00189553</w:t>
      </w:r>
    </w:p>
    <w:p w14:paraId="0756A031" w14:textId="77777777" w:rsidR="001D0929" w:rsidRPr="00FD5E77" w:rsidRDefault="001D0929" w:rsidP="001D0929">
      <w:pPr>
        <w:ind w:left="270" w:hangingChars="150" w:hanging="270"/>
        <w:rPr>
          <w:sz w:val="18"/>
        </w:rPr>
      </w:pPr>
      <w:r w:rsidRPr="00FD5E77">
        <w:rPr>
          <w:rFonts w:hint="eastAsia"/>
          <w:sz w:val="18"/>
        </w:rPr>
        <w:t xml:space="preserve">5） Wagner U, Marth C, </w:t>
      </w:r>
      <w:proofErr w:type="spellStart"/>
      <w:r w:rsidRPr="00FD5E77">
        <w:rPr>
          <w:rFonts w:hint="eastAsia"/>
          <w:sz w:val="18"/>
        </w:rPr>
        <w:t>Largillier</w:t>
      </w:r>
      <w:proofErr w:type="spellEnd"/>
      <w:r w:rsidRPr="00FD5E77">
        <w:rPr>
          <w:rFonts w:hint="eastAsia"/>
          <w:sz w:val="18"/>
        </w:rPr>
        <w:t xml:space="preserve"> R, </w:t>
      </w:r>
      <w:proofErr w:type="spellStart"/>
      <w:r w:rsidRPr="00FD5E77">
        <w:rPr>
          <w:rFonts w:hint="eastAsia"/>
          <w:sz w:val="18"/>
        </w:rPr>
        <w:t>Kaern</w:t>
      </w:r>
      <w:proofErr w:type="spellEnd"/>
      <w:r w:rsidRPr="00FD5E77">
        <w:rPr>
          <w:rFonts w:hint="eastAsia"/>
          <w:sz w:val="18"/>
        </w:rPr>
        <w:t xml:space="preserve"> J, Brown C, Heywood M, et al. Final overall survival results of </w:t>
      </w:r>
      <w:r w:rsidRPr="00FD5E77">
        <w:rPr>
          <w:sz w:val="18"/>
        </w:rPr>
        <w:t>phase III GCIG CALYPSO trial of pegylated liposomal doxorubicin and carboplatin vs paclitaxel and</w:t>
      </w:r>
      <w:r w:rsidRPr="00FD5E77">
        <w:rPr>
          <w:rFonts w:hint="eastAsia"/>
          <w:sz w:val="18"/>
        </w:rPr>
        <w:t xml:space="preserve"> carboplatin in platinum-sensitive ovarian cancer patients. Br J Cancer 2012 ; 107 : 588-91（ランダム）【旧】</w:t>
      </w:r>
      <w:r w:rsidRPr="00FD5E77">
        <w:rPr>
          <w:sz w:val="18"/>
        </w:rPr>
        <w:t>NCT00189553</w:t>
      </w:r>
    </w:p>
    <w:p w14:paraId="214C37DE" w14:textId="77777777" w:rsidR="001D0929" w:rsidRPr="00FD5E77" w:rsidRDefault="001D0929" w:rsidP="001D0929">
      <w:pPr>
        <w:ind w:left="270" w:hangingChars="150" w:hanging="270"/>
        <w:rPr>
          <w:sz w:val="18"/>
        </w:rPr>
      </w:pPr>
      <w:r w:rsidRPr="00FD5E77">
        <w:rPr>
          <w:rFonts w:hint="eastAsia"/>
          <w:sz w:val="18"/>
        </w:rPr>
        <w:t xml:space="preserve">6） </w:t>
      </w:r>
      <w:proofErr w:type="spellStart"/>
      <w:r w:rsidRPr="00FD5E77">
        <w:rPr>
          <w:rFonts w:hint="eastAsia"/>
          <w:sz w:val="18"/>
        </w:rPr>
        <w:t>Aghajanian</w:t>
      </w:r>
      <w:proofErr w:type="spellEnd"/>
      <w:r w:rsidRPr="00FD5E77">
        <w:rPr>
          <w:rFonts w:hint="eastAsia"/>
          <w:sz w:val="18"/>
        </w:rPr>
        <w:t xml:space="preserve"> C, Blank SV, Goff BA, Judson PL, </w:t>
      </w:r>
      <w:proofErr w:type="spellStart"/>
      <w:r w:rsidRPr="00FD5E77">
        <w:rPr>
          <w:rFonts w:hint="eastAsia"/>
          <w:sz w:val="18"/>
        </w:rPr>
        <w:t>Teneriello</w:t>
      </w:r>
      <w:proofErr w:type="spellEnd"/>
      <w:r w:rsidRPr="00FD5E77">
        <w:rPr>
          <w:rFonts w:hint="eastAsia"/>
          <w:sz w:val="18"/>
        </w:rPr>
        <w:t xml:space="preserve"> MG, Husain A, et al. OCEANS : a randomized, </w:t>
      </w:r>
      <w:r w:rsidRPr="00FD5E77">
        <w:rPr>
          <w:sz w:val="18"/>
        </w:rPr>
        <w:t>double-blind, placebo-controlled phase III trial of chemotherapy with or without bevacizumab in</w:t>
      </w:r>
      <w:r w:rsidRPr="00FD5E77">
        <w:rPr>
          <w:rFonts w:hint="eastAsia"/>
          <w:sz w:val="18"/>
        </w:rPr>
        <w:t xml:space="preserve"> </w:t>
      </w:r>
      <w:r w:rsidRPr="00FD5E77">
        <w:rPr>
          <w:sz w:val="18"/>
        </w:rPr>
        <w:t>patients with platinum-sensitive recurrent epithelial ovarian, primary peritoneal, or fallopian tube</w:t>
      </w:r>
      <w:r w:rsidRPr="00FD5E77">
        <w:rPr>
          <w:rFonts w:hint="eastAsia"/>
          <w:sz w:val="18"/>
        </w:rPr>
        <w:t xml:space="preserve"> cancer. J Clin Oncol 2012 ; 30 : 2039-45（ランダム）【旧】NCT00434642</w:t>
      </w:r>
    </w:p>
    <w:p w14:paraId="0407FEBE" w14:textId="77777777" w:rsidR="001D0929" w:rsidRPr="00FD5E77" w:rsidRDefault="001D0929" w:rsidP="001D0929">
      <w:pPr>
        <w:ind w:left="270" w:hangingChars="150" w:hanging="270"/>
        <w:rPr>
          <w:sz w:val="18"/>
        </w:rPr>
      </w:pPr>
      <w:r w:rsidRPr="00FD5E77">
        <w:rPr>
          <w:rFonts w:hint="eastAsia"/>
          <w:sz w:val="18"/>
        </w:rPr>
        <w:t xml:space="preserve">7） Coleman RL, Brady MF, Herzog TJ, </w:t>
      </w:r>
      <w:proofErr w:type="spellStart"/>
      <w:r w:rsidRPr="00FD5E77">
        <w:rPr>
          <w:rFonts w:hint="eastAsia"/>
          <w:sz w:val="18"/>
        </w:rPr>
        <w:t>Sabbatini</w:t>
      </w:r>
      <w:proofErr w:type="spellEnd"/>
      <w:r w:rsidRPr="00FD5E77">
        <w:rPr>
          <w:rFonts w:hint="eastAsia"/>
          <w:sz w:val="18"/>
        </w:rPr>
        <w:t xml:space="preserve"> P, Walker JL, Armstrong DK, et al. Bevacizumab and </w:t>
      </w:r>
      <w:r w:rsidRPr="00FD5E77">
        <w:rPr>
          <w:sz w:val="18"/>
        </w:rPr>
        <w:t>paclitaxel-carboplatin chemotherapy and secondary cytoreduction in recurrent, platinum-sensitive</w:t>
      </w:r>
      <w:r w:rsidRPr="00FD5E77">
        <w:rPr>
          <w:rFonts w:hint="eastAsia"/>
          <w:sz w:val="18"/>
        </w:rPr>
        <w:t xml:space="preserve"> ovarian cancer （NRG Oncology/ Gynecologic Oncology Group study GOG-213） : a multicenter, </w:t>
      </w:r>
      <w:proofErr w:type="spellStart"/>
      <w:r w:rsidRPr="00FD5E77">
        <w:rPr>
          <w:rFonts w:hint="eastAsia"/>
          <w:sz w:val="18"/>
        </w:rPr>
        <w:t>openlabel</w:t>
      </w:r>
      <w:proofErr w:type="spellEnd"/>
      <w:r w:rsidRPr="00FD5E77">
        <w:rPr>
          <w:rFonts w:hint="eastAsia"/>
          <w:sz w:val="18"/>
        </w:rPr>
        <w:t xml:space="preserve">, </w:t>
      </w:r>
      <w:proofErr w:type="spellStart"/>
      <w:r w:rsidRPr="00FD5E77">
        <w:rPr>
          <w:rFonts w:hint="eastAsia"/>
          <w:sz w:val="18"/>
        </w:rPr>
        <w:t>randomised</w:t>
      </w:r>
      <w:proofErr w:type="spellEnd"/>
      <w:r w:rsidRPr="00FD5E77">
        <w:rPr>
          <w:rFonts w:hint="eastAsia"/>
          <w:sz w:val="18"/>
        </w:rPr>
        <w:t>, phase 3 trial. Lancet Oncol 2017 ; 18 : 779-91（ランダム）【委】NCT00565851</w:t>
      </w:r>
    </w:p>
    <w:p w14:paraId="41C47040" w14:textId="77777777" w:rsidR="001D0929" w:rsidRPr="00FD5E77" w:rsidRDefault="001D0929" w:rsidP="001D0929">
      <w:pPr>
        <w:ind w:left="270" w:hangingChars="150" w:hanging="270"/>
        <w:rPr>
          <w:sz w:val="18"/>
        </w:rPr>
      </w:pPr>
      <w:r w:rsidRPr="00FD5E77">
        <w:rPr>
          <w:rFonts w:hint="eastAsia"/>
          <w:sz w:val="18"/>
        </w:rPr>
        <w:t xml:space="preserve">8） </w:t>
      </w:r>
      <w:proofErr w:type="spellStart"/>
      <w:r w:rsidRPr="00FD5E77">
        <w:rPr>
          <w:rFonts w:hint="eastAsia"/>
          <w:sz w:val="18"/>
        </w:rPr>
        <w:t>Pfisterer</w:t>
      </w:r>
      <w:proofErr w:type="spellEnd"/>
      <w:r w:rsidRPr="00FD5E77">
        <w:rPr>
          <w:rFonts w:hint="eastAsia"/>
          <w:sz w:val="18"/>
        </w:rPr>
        <w:t xml:space="preserve"> J, Shannon CM, Baumann K, Rau J, Harter P, Joly F, et al. Bevacizumab and platinum-based </w:t>
      </w:r>
      <w:r w:rsidRPr="00FD5E77">
        <w:rPr>
          <w:sz w:val="18"/>
        </w:rPr>
        <w:t xml:space="preserve">combinations for recurrent ovarian cancer : a </w:t>
      </w:r>
      <w:proofErr w:type="spellStart"/>
      <w:r w:rsidRPr="00FD5E77">
        <w:rPr>
          <w:sz w:val="18"/>
        </w:rPr>
        <w:t>randomised</w:t>
      </w:r>
      <w:proofErr w:type="spellEnd"/>
      <w:r w:rsidRPr="00FD5E77">
        <w:rPr>
          <w:sz w:val="18"/>
        </w:rPr>
        <w:t>, open-label, phase 3 trial. Lancet Oncol 2020 ;</w:t>
      </w:r>
      <w:r w:rsidRPr="00FD5E77">
        <w:rPr>
          <w:rFonts w:hint="eastAsia"/>
          <w:sz w:val="18"/>
        </w:rPr>
        <w:t xml:space="preserve"> 21 : 699-709（ランダム）【委】NCT01837251</w:t>
      </w:r>
    </w:p>
    <w:p w14:paraId="28132E0E" w14:textId="77777777" w:rsidR="001D0929" w:rsidRPr="00FD5E77" w:rsidRDefault="001D0929" w:rsidP="001D0929">
      <w:pPr>
        <w:ind w:left="270" w:hangingChars="150" w:hanging="270"/>
        <w:rPr>
          <w:sz w:val="18"/>
        </w:rPr>
      </w:pPr>
      <w:r w:rsidRPr="00FD5E77">
        <w:rPr>
          <w:rFonts w:hint="eastAsia"/>
          <w:sz w:val="18"/>
        </w:rPr>
        <w:t xml:space="preserve">9） </w:t>
      </w:r>
      <w:proofErr w:type="spellStart"/>
      <w:r w:rsidRPr="00FD5E77">
        <w:rPr>
          <w:rFonts w:hint="eastAsia"/>
          <w:sz w:val="18"/>
        </w:rPr>
        <w:t>Pujade-Lauraine</w:t>
      </w:r>
      <w:proofErr w:type="spellEnd"/>
      <w:r w:rsidRPr="00FD5E77">
        <w:rPr>
          <w:rFonts w:hint="eastAsia"/>
          <w:sz w:val="18"/>
        </w:rPr>
        <w:t xml:space="preserve"> E, Ledermann JA, </w:t>
      </w:r>
      <w:proofErr w:type="spellStart"/>
      <w:r w:rsidRPr="00FD5E77">
        <w:rPr>
          <w:rFonts w:hint="eastAsia"/>
          <w:sz w:val="18"/>
        </w:rPr>
        <w:t>Selle</w:t>
      </w:r>
      <w:proofErr w:type="spellEnd"/>
      <w:r w:rsidRPr="00FD5E77">
        <w:rPr>
          <w:rFonts w:hint="eastAsia"/>
          <w:sz w:val="18"/>
        </w:rPr>
        <w:t xml:space="preserve"> F, </w:t>
      </w:r>
      <w:proofErr w:type="spellStart"/>
      <w:r w:rsidRPr="00FD5E77">
        <w:rPr>
          <w:rFonts w:hint="eastAsia"/>
          <w:sz w:val="18"/>
        </w:rPr>
        <w:t>Gebski</w:t>
      </w:r>
      <w:proofErr w:type="spellEnd"/>
      <w:r w:rsidRPr="00FD5E77">
        <w:rPr>
          <w:rFonts w:hint="eastAsia"/>
          <w:sz w:val="18"/>
        </w:rPr>
        <w:t xml:space="preserve"> V, Penson RT, </w:t>
      </w:r>
      <w:proofErr w:type="spellStart"/>
      <w:r w:rsidRPr="00FD5E77">
        <w:rPr>
          <w:rFonts w:hint="eastAsia"/>
          <w:sz w:val="18"/>
        </w:rPr>
        <w:t>Oza</w:t>
      </w:r>
      <w:proofErr w:type="spellEnd"/>
      <w:r w:rsidRPr="00FD5E77">
        <w:rPr>
          <w:rFonts w:hint="eastAsia"/>
          <w:sz w:val="18"/>
        </w:rPr>
        <w:t xml:space="preserve"> AM, et al ; SOLO2/ENGOTOv21 </w:t>
      </w:r>
      <w:r w:rsidRPr="00FD5E77">
        <w:rPr>
          <w:sz w:val="18"/>
        </w:rPr>
        <w:t>investigators. Olaparib tablets as maintenance therapy in patients with platinum-sensitive,</w:t>
      </w:r>
      <w:r w:rsidRPr="00FD5E77">
        <w:rPr>
          <w:rFonts w:hint="eastAsia"/>
          <w:sz w:val="18"/>
        </w:rPr>
        <w:t xml:space="preserve"> relapsed ovarian cancer and a BRCA1/2 mutation （SOLO2/ENGOT-Ov21） : a double-blind, </w:t>
      </w:r>
      <w:proofErr w:type="spellStart"/>
      <w:r w:rsidRPr="00FD5E77">
        <w:rPr>
          <w:rFonts w:hint="eastAsia"/>
          <w:sz w:val="18"/>
        </w:rPr>
        <w:t>randomised</w:t>
      </w:r>
      <w:proofErr w:type="spellEnd"/>
      <w:r w:rsidRPr="00FD5E77">
        <w:rPr>
          <w:rFonts w:hint="eastAsia"/>
          <w:sz w:val="18"/>
        </w:rPr>
        <w:t>, placebo-controlled, phase 3 trial. Lancet Oncol 2017 ; 18 : 1274-84（ランダム）【委】NCT01874353</w:t>
      </w:r>
    </w:p>
    <w:p w14:paraId="02DA8AA8" w14:textId="77777777" w:rsidR="001D0929" w:rsidRPr="00FD5E77" w:rsidRDefault="001D0929" w:rsidP="001D0929">
      <w:pPr>
        <w:ind w:left="270" w:hangingChars="150" w:hanging="270"/>
        <w:rPr>
          <w:sz w:val="18"/>
        </w:rPr>
      </w:pPr>
      <w:r w:rsidRPr="00FD5E77">
        <w:rPr>
          <w:rFonts w:hint="eastAsia"/>
          <w:sz w:val="18"/>
        </w:rPr>
        <w:t xml:space="preserve">10） Ledermann J, Harter P, Gourley C, Friedlander M, </w:t>
      </w:r>
      <w:proofErr w:type="spellStart"/>
      <w:r w:rsidRPr="00FD5E77">
        <w:rPr>
          <w:rFonts w:hint="eastAsia"/>
          <w:sz w:val="18"/>
        </w:rPr>
        <w:t>Vergote</w:t>
      </w:r>
      <w:proofErr w:type="spellEnd"/>
      <w:r w:rsidRPr="00FD5E77">
        <w:rPr>
          <w:rFonts w:hint="eastAsia"/>
          <w:sz w:val="18"/>
        </w:rPr>
        <w:t xml:space="preserve"> I, Rustin G, et al. Olaparib maintenance therapy in platinum-sensitive relapsed ovarian cancer. N </w:t>
      </w:r>
      <w:proofErr w:type="spellStart"/>
      <w:r w:rsidRPr="00FD5E77">
        <w:rPr>
          <w:rFonts w:hint="eastAsia"/>
          <w:sz w:val="18"/>
        </w:rPr>
        <w:t>Engl</w:t>
      </w:r>
      <w:proofErr w:type="spellEnd"/>
      <w:r w:rsidRPr="00FD5E77">
        <w:rPr>
          <w:rFonts w:hint="eastAsia"/>
          <w:sz w:val="18"/>
        </w:rPr>
        <w:t xml:space="preserve"> J Med 2012 ; 366 : 1382-92（ランダム）【旧】</w:t>
      </w:r>
      <w:r w:rsidRPr="00FD5E77">
        <w:rPr>
          <w:sz w:val="18"/>
        </w:rPr>
        <w:t>NCT00753545</w:t>
      </w:r>
    </w:p>
    <w:p w14:paraId="15061205" w14:textId="77777777" w:rsidR="001D0929" w:rsidRPr="00FD5E77" w:rsidRDefault="001D0929" w:rsidP="001D0929">
      <w:pPr>
        <w:ind w:left="270" w:hangingChars="150" w:hanging="270"/>
        <w:rPr>
          <w:sz w:val="18"/>
        </w:rPr>
      </w:pPr>
      <w:r w:rsidRPr="00FD5E77">
        <w:rPr>
          <w:rFonts w:hint="eastAsia"/>
          <w:sz w:val="18"/>
        </w:rPr>
        <w:t xml:space="preserve">11） Ledermann J, Harter P, Gourley C, Friedlander M, </w:t>
      </w:r>
      <w:proofErr w:type="spellStart"/>
      <w:r w:rsidRPr="00FD5E77">
        <w:rPr>
          <w:rFonts w:hint="eastAsia"/>
          <w:sz w:val="18"/>
        </w:rPr>
        <w:t>Vergote</w:t>
      </w:r>
      <w:proofErr w:type="spellEnd"/>
      <w:r w:rsidRPr="00FD5E77">
        <w:rPr>
          <w:rFonts w:hint="eastAsia"/>
          <w:sz w:val="18"/>
        </w:rPr>
        <w:t xml:space="preserve"> I, Rustin G, et al. Olaparib maintenance </w:t>
      </w:r>
      <w:r w:rsidRPr="00FD5E77">
        <w:rPr>
          <w:sz w:val="18"/>
        </w:rPr>
        <w:t>therapy in patients with platinum-sensitive relapsed serous ovarian cancer : a preplanned</w:t>
      </w:r>
      <w:r w:rsidRPr="00FD5E77">
        <w:rPr>
          <w:rFonts w:hint="eastAsia"/>
          <w:sz w:val="18"/>
        </w:rPr>
        <w:t xml:space="preserve"> </w:t>
      </w:r>
      <w:r w:rsidRPr="00FD5E77">
        <w:rPr>
          <w:sz w:val="18"/>
        </w:rPr>
        <w:t xml:space="preserve">retrospective </w:t>
      </w:r>
      <w:r w:rsidRPr="00FD5E77">
        <w:rPr>
          <w:sz w:val="18"/>
        </w:rPr>
        <w:lastRenderedPageBreak/>
        <w:t xml:space="preserve">analysis of outcomes by BRCA status in a </w:t>
      </w:r>
      <w:proofErr w:type="spellStart"/>
      <w:r w:rsidRPr="00FD5E77">
        <w:rPr>
          <w:sz w:val="18"/>
        </w:rPr>
        <w:t>randomised</w:t>
      </w:r>
      <w:proofErr w:type="spellEnd"/>
      <w:r w:rsidRPr="00FD5E77">
        <w:rPr>
          <w:sz w:val="18"/>
        </w:rPr>
        <w:t xml:space="preserve"> phase 2 trial. Lancet Oncol 2014 ;</w:t>
      </w:r>
      <w:r w:rsidRPr="00FD5E77">
        <w:rPr>
          <w:rFonts w:hint="eastAsia"/>
          <w:sz w:val="18"/>
        </w:rPr>
        <w:t xml:space="preserve"> 15 : 852-61（ランダム）【委】NCT00753545</w:t>
      </w:r>
    </w:p>
    <w:p w14:paraId="24EE0C22" w14:textId="77777777" w:rsidR="001D0929" w:rsidRPr="00FD5E77" w:rsidRDefault="001D0929" w:rsidP="001D0929">
      <w:pPr>
        <w:ind w:left="270" w:hangingChars="150" w:hanging="270"/>
        <w:rPr>
          <w:sz w:val="18"/>
        </w:rPr>
      </w:pPr>
      <w:r w:rsidRPr="00FD5E77">
        <w:rPr>
          <w:rFonts w:hint="eastAsia"/>
          <w:sz w:val="18"/>
        </w:rPr>
        <w:t xml:space="preserve">12） Mirza MR, Monk BJ, </w:t>
      </w:r>
      <w:proofErr w:type="spellStart"/>
      <w:r w:rsidRPr="00FD5E77">
        <w:rPr>
          <w:rFonts w:hint="eastAsia"/>
          <w:sz w:val="18"/>
        </w:rPr>
        <w:t>Herrstedt</w:t>
      </w:r>
      <w:proofErr w:type="spellEnd"/>
      <w:r w:rsidRPr="00FD5E77">
        <w:rPr>
          <w:rFonts w:hint="eastAsia"/>
          <w:sz w:val="18"/>
        </w:rPr>
        <w:t xml:space="preserve"> J, </w:t>
      </w:r>
      <w:proofErr w:type="spellStart"/>
      <w:r w:rsidRPr="00FD5E77">
        <w:rPr>
          <w:rFonts w:hint="eastAsia"/>
          <w:sz w:val="18"/>
        </w:rPr>
        <w:t>Oza</w:t>
      </w:r>
      <w:proofErr w:type="spellEnd"/>
      <w:r w:rsidRPr="00FD5E77">
        <w:rPr>
          <w:rFonts w:hint="eastAsia"/>
          <w:sz w:val="18"/>
        </w:rPr>
        <w:t xml:space="preserve"> AM, </w:t>
      </w:r>
      <w:proofErr w:type="spellStart"/>
      <w:r w:rsidRPr="00FD5E77">
        <w:rPr>
          <w:rFonts w:hint="eastAsia"/>
          <w:sz w:val="18"/>
        </w:rPr>
        <w:t>Mahner</w:t>
      </w:r>
      <w:proofErr w:type="spellEnd"/>
      <w:r w:rsidRPr="00FD5E77">
        <w:rPr>
          <w:rFonts w:hint="eastAsia"/>
          <w:sz w:val="18"/>
        </w:rPr>
        <w:t xml:space="preserve"> S, Redondo A, et al. Niraparib maintenance therapy in platinum-sensitive, recurrent ovarian cancer. N </w:t>
      </w:r>
      <w:proofErr w:type="spellStart"/>
      <w:r w:rsidRPr="00FD5E77">
        <w:rPr>
          <w:rFonts w:hint="eastAsia"/>
          <w:sz w:val="18"/>
        </w:rPr>
        <w:t>Engl</w:t>
      </w:r>
      <w:proofErr w:type="spellEnd"/>
      <w:r w:rsidRPr="00FD5E77">
        <w:rPr>
          <w:rFonts w:hint="eastAsia"/>
          <w:sz w:val="18"/>
        </w:rPr>
        <w:t xml:space="preserve"> J Med 2016 ; 375 : 2154-6（4ランダム）【委】NCT01847274</w:t>
      </w:r>
    </w:p>
    <w:p w14:paraId="5B543550" w14:textId="77777777" w:rsidR="001D0929" w:rsidRPr="00FD5E77" w:rsidRDefault="001D0929" w:rsidP="001D0929">
      <w:pPr>
        <w:ind w:left="270" w:hangingChars="150" w:hanging="270"/>
        <w:rPr>
          <w:sz w:val="18"/>
        </w:rPr>
      </w:pPr>
      <w:r w:rsidRPr="00FD5E77">
        <w:rPr>
          <w:rFonts w:hint="eastAsia"/>
          <w:sz w:val="18"/>
        </w:rPr>
        <w:t xml:space="preserve">13） Coleman RL, </w:t>
      </w:r>
      <w:proofErr w:type="spellStart"/>
      <w:r w:rsidRPr="00FD5E77">
        <w:rPr>
          <w:rFonts w:hint="eastAsia"/>
          <w:sz w:val="18"/>
        </w:rPr>
        <w:t>Oza</w:t>
      </w:r>
      <w:proofErr w:type="spellEnd"/>
      <w:r w:rsidRPr="00FD5E77">
        <w:rPr>
          <w:rFonts w:hint="eastAsia"/>
          <w:sz w:val="18"/>
        </w:rPr>
        <w:t xml:space="preserve"> AM, </w:t>
      </w:r>
      <w:proofErr w:type="spellStart"/>
      <w:r w:rsidRPr="00FD5E77">
        <w:rPr>
          <w:rFonts w:hint="eastAsia"/>
          <w:sz w:val="18"/>
        </w:rPr>
        <w:t>Lorusso</w:t>
      </w:r>
      <w:proofErr w:type="spellEnd"/>
      <w:r w:rsidRPr="00FD5E77">
        <w:rPr>
          <w:rFonts w:hint="eastAsia"/>
          <w:sz w:val="18"/>
        </w:rPr>
        <w:t xml:space="preserve"> D, </w:t>
      </w:r>
      <w:proofErr w:type="spellStart"/>
      <w:r w:rsidRPr="00FD5E77">
        <w:rPr>
          <w:rFonts w:hint="eastAsia"/>
          <w:sz w:val="18"/>
        </w:rPr>
        <w:t>Aghajanian</w:t>
      </w:r>
      <w:proofErr w:type="spellEnd"/>
      <w:r w:rsidRPr="00FD5E77">
        <w:rPr>
          <w:rFonts w:hint="eastAsia"/>
          <w:sz w:val="18"/>
        </w:rPr>
        <w:t xml:space="preserve"> C, </w:t>
      </w:r>
      <w:proofErr w:type="spellStart"/>
      <w:r w:rsidRPr="00FD5E77">
        <w:rPr>
          <w:rFonts w:hint="eastAsia"/>
          <w:sz w:val="18"/>
        </w:rPr>
        <w:t>Oaknin</w:t>
      </w:r>
      <w:proofErr w:type="spellEnd"/>
      <w:r w:rsidRPr="00FD5E77">
        <w:rPr>
          <w:rFonts w:hint="eastAsia"/>
          <w:sz w:val="18"/>
        </w:rPr>
        <w:t xml:space="preserve"> A, Dean A, et al. Rucaparib maintenance treatment for recurrent ovarian carcinoma after response to platinum therapy （ARIEL3） : a </w:t>
      </w:r>
      <w:proofErr w:type="spellStart"/>
      <w:r w:rsidRPr="00FD5E77">
        <w:rPr>
          <w:rFonts w:hint="eastAsia"/>
          <w:sz w:val="18"/>
        </w:rPr>
        <w:t>randomised</w:t>
      </w:r>
      <w:proofErr w:type="spellEnd"/>
      <w:r w:rsidRPr="00FD5E77">
        <w:rPr>
          <w:rFonts w:hint="eastAsia"/>
          <w:sz w:val="18"/>
        </w:rPr>
        <w:t>, double-blind, placebo-controlled, phase 3 trial. Lancet 2017 ; 390 : 1949-61（ランダム）【委】</w:t>
      </w:r>
      <w:r w:rsidRPr="00FD5E77">
        <w:rPr>
          <w:sz w:val="18"/>
        </w:rPr>
        <w:t>NCT01968213</w:t>
      </w:r>
    </w:p>
    <w:p w14:paraId="488E2A69" w14:textId="77777777" w:rsidR="001D0929" w:rsidRPr="00FD5E77" w:rsidRDefault="001D0929" w:rsidP="001D0929"/>
    <w:p w14:paraId="10FDCAA6" w14:textId="77777777" w:rsidR="001D0929" w:rsidRPr="00FD5E77" w:rsidRDefault="001D0929" w:rsidP="001D0929"/>
    <w:p w14:paraId="7354073C" w14:textId="77777777" w:rsidR="00B31A0D" w:rsidRPr="00FD5E77" w:rsidRDefault="00B31A0D"/>
    <w:sectPr w:rsidR="00B31A0D" w:rsidRPr="00FD5E77" w:rsidSect="00662518">
      <w:pgSz w:w="11906" w:h="16838"/>
      <w:pgMar w:top="1985" w:right="1701" w:bottom="1701" w:left="1701"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66E3" w14:textId="77777777" w:rsidR="00F25D8F" w:rsidRDefault="00F25D8F" w:rsidP="00FA2FAA">
      <w:r>
        <w:separator/>
      </w:r>
    </w:p>
  </w:endnote>
  <w:endnote w:type="continuationSeparator" w:id="0">
    <w:p w14:paraId="31A84649" w14:textId="77777777" w:rsidR="00F25D8F" w:rsidRDefault="00F25D8F" w:rsidP="00FA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19E1" w14:textId="77777777" w:rsidR="00F25D8F" w:rsidRDefault="00F25D8F" w:rsidP="00FA2FAA">
      <w:r>
        <w:separator/>
      </w:r>
    </w:p>
  </w:footnote>
  <w:footnote w:type="continuationSeparator" w:id="0">
    <w:p w14:paraId="1CE51873" w14:textId="77777777" w:rsidR="00F25D8F" w:rsidRDefault="00F25D8F" w:rsidP="00FA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29"/>
    <w:rsid w:val="000344F3"/>
    <w:rsid w:val="00167F4B"/>
    <w:rsid w:val="001D0929"/>
    <w:rsid w:val="003B6A95"/>
    <w:rsid w:val="0040135E"/>
    <w:rsid w:val="0046081E"/>
    <w:rsid w:val="004752C5"/>
    <w:rsid w:val="00662518"/>
    <w:rsid w:val="00667BB4"/>
    <w:rsid w:val="006F2A6F"/>
    <w:rsid w:val="0082048E"/>
    <w:rsid w:val="008433C9"/>
    <w:rsid w:val="0089782E"/>
    <w:rsid w:val="00A10E71"/>
    <w:rsid w:val="00A861EB"/>
    <w:rsid w:val="00AB5942"/>
    <w:rsid w:val="00B20FA2"/>
    <w:rsid w:val="00B31A0D"/>
    <w:rsid w:val="00BC387A"/>
    <w:rsid w:val="00C47059"/>
    <w:rsid w:val="00C67881"/>
    <w:rsid w:val="00DE3AAF"/>
    <w:rsid w:val="00E362E6"/>
    <w:rsid w:val="00E763F4"/>
    <w:rsid w:val="00EA113A"/>
    <w:rsid w:val="00F25D8F"/>
    <w:rsid w:val="00F264C2"/>
    <w:rsid w:val="00F4205C"/>
    <w:rsid w:val="00FA2FAA"/>
    <w:rsid w:val="00FD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0A673"/>
  <w15:chartTrackingRefBased/>
  <w15:docId w15:val="{7C009695-A53E-4838-94C4-BAB444D9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AA"/>
    <w:pPr>
      <w:tabs>
        <w:tab w:val="center" w:pos="4252"/>
        <w:tab w:val="right" w:pos="8504"/>
      </w:tabs>
      <w:snapToGrid w:val="0"/>
    </w:pPr>
  </w:style>
  <w:style w:type="character" w:customStyle="1" w:styleId="a4">
    <w:name w:val="ヘッダー (文字)"/>
    <w:basedOn w:val="a0"/>
    <w:link w:val="a3"/>
    <w:uiPriority w:val="99"/>
    <w:rsid w:val="00FA2FAA"/>
  </w:style>
  <w:style w:type="paragraph" w:styleId="a5">
    <w:name w:val="footer"/>
    <w:basedOn w:val="a"/>
    <w:link w:val="a6"/>
    <w:uiPriority w:val="99"/>
    <w:unhideWhenUsed/>
    <w:rsid w:val="00FA2FAA"/>
    <w:pPr>
      <w:tabs>
        <w:tab w:val="center" w:pos="4252"/>
        <w:tab w:val="right" w:pos="8504"/>
      </w:tabs>
      <w:snapToGrid w:val="0"/>
    </w:pPr>
  </w:style>
  <w:style w:type="character" w:customStyle="1" w:styleId="a6">
    <w:name w:val="フッター (文字)"/>
    <w:basedOn w:val="a0"/>
    <w:link w:val="a5"/>
    <w:uiPriority w:val="99"/>
    <w:rsid w:val="00FA2FAA"/>
  </w:style>
  <w:style w:type="paragraph" w:styleId="a7">
    <w:name w:val="Balloon Text"/>
    <w:basedOn w:val="a"/>
    <w:link w:val="a8"/>
    <w:uiPriority w:val="99"/>
    <w:semiHidden/>
    <w:unhideWhenUsed/>
    <w:rsid w:val="00E763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63F4"/>
    <w:rPr>
      <w:rFonts w:asciiTheme="majorHAnsi" w:eastAsiaTheme="majorEastAsia" w:hAnsiTheme="majorHAnsi" w:cstheme="majorBidi"/>
      <w:sz w:val="18"/>
      <w:szCs w:val="18"/>
    </w:rPr>
  </w:style>
  <w:style w:type="character" w:styleId="a9">
    <w:name w:val="line number"/>
    <w:basedOn w:val="a0"/>
    <w:uiPriority w:val="99"/>
    <w:semiHidden/>
    <w:unhideWhenUsed/>
    <w:rsid w:val="0066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1293</Words>
  <Characters>7371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Tsutomu</dc:creator>
  <cp:keywords/>
  <dc:description/>
  <cp:lastModifiedBy>日本婦人科腫瘍学会 公益社団法人</cp:lastModifiedBy>
  <cp:revision>2</cp:revision>
  <cp:lastPrinted>2021-07-20T11:36:00Z</cp:lastPrinted>
  <dcterms:created xsi:type="dcterms:W3CDTF">2021-07-29T12:58:00Z</dcterms:created>
  <dcterms:modified xsi:type="dcterms:W3CDTF">2021-07-29T12:58:00Z</dcterms:modified>
</cp:coreProperties>
</file>